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852" w:rsidRDefault="00732AF1">
      <w:pPr>
        <w:keepNext/>
        <w:pBdr>
          <w:top w:val="nil"/>
          <w:left w:val="nil"/>
          <w:bottom w:val="nil"/>
          <w:right w:val="nil"/>
          <w:between w:val="nil"/>
        </w:pBdr>
        <w:ind w:firstLine="720"/>
        <w:rPr>
          <w:rFonts w:ascii="Times" w:eastAsia="Times" w:hAnsi="Times" w:cs="Times"/>
          <w:b/>
          <w:i/>
          <w:color w:val="000000"/>
          <w:sz w:val="32"/>
          <w:szCs w:val="32"/>
        </w:rPr>
      </w:pPr>
      <w:bookmarkStart w:id="0" w:name="_GoBack"/>
      <w:bookmarkEnd w:id="0"/>
      <w:r>
        <w:rPr>
          <w:rFonts w:ascii="Times" w:eastAsia="Times" w:hAnsi="Times" w:cs="Times"/>
          <w:b/>
          <w:i/>
          <w:color w:val="000000"/>
          <w:sz w:val="32"/>
          <w:szCs w:val="32"/>
        </w:rPr>
        <w:t>Drinking Water Protections Against COVID-19</w:t>
      </w:r>
    </w:p>
    <w:p w:rsidR="002C1852" w:rsidRDefault="00732AF1">
      <w:pPr>
        <w:keepNext/>
        <w:pBdr>
          <w:top w:val="nil"/>
          <w:left w:val="nil"/>
          <w:bottom w:val="nil"/>
          <w:right w:val="nil"/>
          <w:between w:val="nil"/>
        </w:pBdr>
        <w:jc w:val="center"/>
        <w:rPr>
          <w:rFonts w:ascii="Times" w:eastAsia="Times" w:hAnsi="Times" w:cs="Times"/>
          <w:i/>
          <w:color w:val="000000"/>
        </w:rPr>
      </w:pPr>
      <w:r>
        <w:rPr>
          <w:rFonts w:ascii="Times" w:eastAsia="Times" w:hAnsi="Times" w:cs="Times"/>
          <w:i/>
          <w:color w:val="000000"/>
        </w:rPr>
        <w:t>State officials say there is no need to stock up on surplus bottled water due to Coronavirus</w:t>
      </w:r>
    </w:p>
    <w:p w:rsidR="002C1852" w:rsidRDefault="002C1852">
      <w:pPr>
        <w:keepNext/>
        <w:pBdr>
          <w:top w:val="nil"/>
          <w:left w:val="nil"/>
          <w:bottom w:val="nil"/>
          <w:right w:val="nil"/>
          <w:between w:val="nil"/>
        </w:pBdr>
        <w:jc w:val="center"/>
        <w:rPr>
          <w:rFonts w:ascii="Times" w:eastAsia="Times" w:hAnsi="Times" w:cs="Times"/>
          <w:i/>
          <w:color w:val="000000"/>
        </w:rPr>
      </w:pPr>
    </w:p>
    <w:p w:rsidR="002C1852" w:rsidRDefault="00732AF1">
      <w:pPr>
        <w:spacing w:before="240" w:after="240"/>
      </w:pPr>
      <w:r>
        <w:t>Daniel Municipal Water and Storm Haven Water</w:t>
      </w:r>
      <w:r>
        <w:t xml:space="preserve"> – The Utah Department of Environmental Quality (DEQ) wants residents to know that their public water supply is safe. In the case of quarantine or outbreak related to the coronavirus, public drinking water systems are designed to continuously deliver safe </w:t>
      </w:r>
      <w:r>
        <w:t>drinking water to your tap.</w:t>
      </w:r>
    </w:p>
    <w:p w:rsidR="002C1852" w:rsidRDefault="00732AF1">
      <w:pPr>
        <w:spacing w:before="240" w:after="240"/>
      </w:pPr>
      <w:r>
        <w:t>“Drinking water treatment and disinfection has effectively protected Utah’s population for many decades. These protections will safeguard residents against drinking-water-borne viral infections—including coronavirus,” says Marie</w:t>
      </w:r>
      <w:r>
        <w:t xml:space="preserve"> Owens, Director of DEQ’s Division of Drinking Water. “There is no need for residents to stock up on surplus bottled water in preparation for a potential outbreak of coronavirus.”</w:t>
      </w:r>
    </w:p>
    <w:p w:rsidR="002C1852" w:rsidRDefault="002C1852">
      <w:pPr>
        <w:spacing w:before="240" w:after="240"/>
      </w:pPr>
    </w:p>
    <w:p w:rsidR="002C1852" w:rsidRDefault="00732AF1">
      <w:pPr>
        <w:rPr>
          <w:b/>
          <w:sz w:val="20"/>
          <w:szCs w:val="20"/>
        </w:rPr>
      </w:pPr>
      <w:r>
        <w:rPr>
          <w:b/>
          <w:sz w:val="20"/>
          <w:szCs w:val="20"/>
        </w:rPr>
        <w:t>About DEQ</w:t>
      </w:r>
    </w:p>
    <w:p w:rsidR="002C1852" w:rsidRDefault="00732AF1">
      <w:pPr>
        <w:rPr>
          <w:sz w:val="20"/>
          <w:szCs w:val="20"/>
        </w:rPr>
      </w:pPr>
      <w:bookmarkStart w:id="1" w:name="_gjdgxs" w:colFirst="0" w:colLast="0"/>
      <w:bookmarkEnd w:id="1"/>
      <w:r>
        <w:rPr>
          <w:color w:val="000000"/>
          <w:sz w:val="20"/>
          <w:szCs w:val="20"/>
        </w:rPr>
        <w:t>Established in 1991, the Utah Department of Environmental Quality</w:t>
      </w:r>
      <w:r>
        <w:rPr>
          <w:color w:val="000000"/>
          <w:sz w:val="20"/>
          <w:szCs w:val="20"/>
        </w:rPr>
        <w:t xml:space="preserve">’s (DEQ) mission is to safeguard and improve Utah’s air, land and water through balanced regulation. DEQ implements state and federal environmental laws and works with individuals, community groups and businesses to protect the quality of Utah’s air, land </w:t>
      </w:r>
      <w:r>
        <w:rPr>
          <w:color w:val="000000"/>
          <w:sz w:val="20"/>
          <w:szCs w:val="20"/>
        </w:rPr>
        <w:t xml:space="preserve">and water. For more information, visit </w:t>
      </w:r>
      <w:hyperlink r:id="rId6">
        <w:r>
          <w:rPr>
            <w:color w:val="0000FF"/>
            <w:sz w:val="20"/>
            <w:szCs w:val="20"/>
            <w:u w:val="single"/>
          </w:rPr>
          <w:t>www.deq.utah.gov</w:t>
        </w:r>
      </w:hyperlink>
      <w:r>
        <w:rPr>
          <w:color w:val="000000"/>
          <w:sz w:val="20"/>
          <w:szCs w:val="20"/>
        </w:rPr>
        <w:t>, follow DEQ on Facebook (</w:t>
      </w:r>
      <w:hyperlink r:id="rId7">
        <w:r>
          <w:rPr>
            <w:color w:val="0000FF"/>
            <w:sz w:val="20"/>
            <w:szCs w:val="20"/>
            <w:u w:val="single"/>
          </w:rPr>
          <w:t>utahdeq</w:t>
        </w:r>
      </w:hyperlink>
      <w:r>
        <w:rPr>
          <w:color w:val="000000"/>
          <w:sz w:val="20"/>
          <w:szCs w:val="20"/>
        </w:rPr>
        <w:t>) and Twitter (</w:t>
      </w:r>
      <w:hyperlink r:id="rId8">
        <w:r>
          <w:rPr>
            <w:color w:val="0000FF"/>
            <w:sz w:val="20"/>
            <w:szCs w:val="20"/>
            <w:u w:val="single"/>
          </w:rPr>
          <w:t>UtahDEQ</w:t>
        </w:r>
      </w:hyperlink>
      <w:r>
        <w:rPr>
          <w:color w:val="000000"/>
          <w:sz w:val="20"/>
          <w:szCs w:val="20"/>
        </w:rPr>
        <w:t>).</w:t>
      </w:r>
    </w:p>
    <w:sectPr w:rsidR="002C1852">
      <w:headerReference w:type="default" r:id="rId9"/>
      <w:headerReference w:type="first" r:id="rId10"/>
      <w:footerReference w:type="first" r:id="rId11"/>
      <w:pgSz w:w="12240" w:h="15840"/>
      <w:pgMar w:top="3074" w:right="1440" w:bottom="1260" w:left="1320" w:header="90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AF1" w:rsidRDefault="00732AF1">
      <w:r>
        <w:separator/>
      </w:r>
    </w:p>
  </w:endnote>
  <w:endnote w:type="continuationSeparator" w:id="0">
    <w:p w:rsidR="00732AF1" w:rsidRDefault="0073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852" w:rsidRDefault="00732AF1">
    <w:pPr>
      <w:pBdr>
        <w:top w:val="nil"/>
        <w:left w:val="nil"/>
        <w:bottom w:val="nil"/>
        <w:right w:val="nil"/>
        <w:between w:val="nil"/>
      </w:pBdr>
      <w:tabs>
        <w:tab w:val="left" w:pos="2160"/>
      </w:tabs>
      <w:ind w:right="-245"/>
      <w:jc w:val="center"/>
      <w:rPr>
        <w:rFonts w:ascii="Times" w:eastAsia="Times" w:hAnsi="Times" w:cs="Times"/>
        <w:i/>
        <w:color w:val="000000"/>
        <w:sz w:val="14"/>
        <w:szCs w:val="14"/>
      </w:rPr>
    </w:pPr>
    <w:r>
      <w:rPr>
        <w:rFonts w:ascii="Times" w:eastAsia="Times" w:hAnsi="Times" w:cs="Times"/>
        <w:color w:val="000000"/>
        <w:sz w:val="16"/>
        <w:szCs w:val="16"/>
      </w:rPr>
      <w:t xml:space="preserve">195 North 1950 West • Salt Lake City, UT                                                                                                                                                                 Mailing Address:  P.O. Box 144810 • Salt Lake City, UT </w:t>
    </w:r>
    <w:r>
      <w:rPr>
        <w:rFonts w:ascii="Times" w:eastAsia="Times" w:hAnsi="Times" w:cs="Times"/>
        <w:color w:val="000000"/>
        <w:sz w:val="16"/>
        <w:szCs w:val="16"/>
      </w:rPr>
      <w:t xml:space="preserve"> 84114-4810                                                                                                                 Telephone (801) 536-4400 • Fax (801) 536-0061 • T.D.D.  (801) 903-3978                                                              </w:t>
    </w:r>
    <w:r>
      <w:rPr>
        <w:rFonts w:ascii="Times" w:eastAsia="Times" w:hAnsi="Times" w:cs="Times"/>
        <w:color w:val="000000"/>
        <w:sz w:val="16"/>
        <w:szCs w:val="16"/>
      </w:rPr>
      <w:t xml:space="preserve">                                           </w:t>
    </w:r>
    <w:r>
      <w:rPr>
        <w:rFonts w:ascii="Times" w:eastAsia="Times" w:hAnsi="Times" w:cs="Times"/>
        <w:i/>
        <w:color w:val="000000"/>
        <w:sz w:val="14"/>
        <w:szCs w:val="14"/>
      </w:rPr>
      <w:t>www.deq.utah.gov</w:t>
    </w:r>
  </w:p>
  <w:p w:rsidR="002C1852" w:rsidRDefault="00732AF1">
    <w:pPr>
      <w:pBdr>
        <w:top w:val="nil"/>
        <w:left w:val="nil"/>
        <w:bottom w:val="nil"/>
        <w:right w:val="nil"/>
        <w:between w:val="nil"/>
      </w:pBdr>
      <w:tabs>
        <w:tab w:val="left" w:pos="2160"/>
      </w:tabs>
      <w:ind w:right="-245"/>
      <w:jc w:val="center"/>
      <w:rPr>
        <w:rFonts w:ascii="Times" w:eastAsia="Times" w:hAnsi="Times" w:cs="Times"/>
        <w:color w:val="000000"/>
        <w:sz w:val="14"/>
        <w:szCs w:val="14"/>
      </w:rPr>
    </w:pPr>
    <w:r>
      <w:rPr>
        <w:rFonts w:ascii="Times" w:eastAsia="Times" w:hAnsi="Times" w:cs="Times"/>
        <w:color w:val="000000"/>
        <w:sz w:val="14"/>
        <w:szCs w:val="14"/>
      </w:rPr>
      <w:t>Printed on 100% recycled paper</w:t>
    </w:r>
  </w:p>
  <w:p w:rsidR="002C1852" w:rsidRDefault="002C185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AF1" w:rsidRDefault="00732AF1">
      <w:r>
        <w:separator/>
      </w:r>
    </w:p>
  </w:footnote>
  <w:footnote w:type="continuationSeparator" w:id="0">
    <w:p w:rsidR="00732AF1" w:rsidRDefault="0073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852" w:rsidRDefault="00732AF1">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852" w:rsidRDefault="00732AF1">
    <w:pPr>
      <w:pBdr>
        <w:top w:val="nil"/>
        <w:left w:val="nil"/>
        <w:bottom w:val="nil"/>
        <w:right w:val="nil"/>
        <w:between w:val="nil"/>
      </w:pBdr>
      <w:tabs>
        <w:tab w:val="left" w:pos="6949"/>
      </w:tabs>
      <w:spacing w:before="2760"/>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-660399</wp:posOffset>
              </wp:positionH>
              <wp:positionV relativeFrom="paragraph">
                <wp:posOffset>596900</wp:posOffset>
              </wp:positionV>
              <wp:extent cx="1840230" cy="107378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430648" y="3247870"/>
                        <a:ext cx="1830705" cy="1064260"/>
                      </a:xfrm>
                      <a:prstGeom prst="rect">
                        <a:avLst/>
                      </a:prstGeom>
                      <a:noFill/>
                      <a:ln>
                        <a:noFill/>
                      </a:ln>
                    </wps:spPr>
                    <wps:txbx>
                      <w:txbxContent>
                        <w:p w:rsidR="002C1852" w:rsidRDefault="00732AF1">
                          <w:pPr>
                            <w:jc w:val="center"/>
                            <w:textDirection w:val="btLr"/>
                          </w:pPr>
                          <w:r>
                            <w:rPr>
                              <w:rFonts w:ascii="Times" w:eastAsia="Times" w:hAnsi="Times" w:cs="Times"/>
                              <w:color w:val="000000"/>
                              <w:sz w:val="28"/>
                            </w:rPr>
                            <w:t xml:space="preserve">State of Utah </w:t>
                          </w:r>
                        </w:p>
                        <w:p w:rsidR="002C1852" w:rsidRDefault="002C1852">
                          <w:pPr>
                            <w:jc w:val="center"/>
                            <w:textDirection w:val="btLr"/>
                          </w:pPr>
                        </w:p>
                        <w:p w:rsidR="002C1852" w:rsidRDefault="002C1852">
                          <w:pPr>
                            <w:jc w:val="center"/>
                            <w:textDirection w:val="btLr"/>
                          </w:pPr>
                        </w:p>
                        <w:p w:rsidR="002C1852" w:rsidRDefault="002C1852">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-660399</wp:posOffset>
              </wp:positionH>
              <wp:positionV relativeFrom="paragraph">
                <wp:posOffset>596900</wp:posOffset>
              </wp:positionV>
              <wp:extent cx="1840230" cy="107378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40230" cy="107378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-584199</wp:posOffset>
              </wp:positionH>
              <wp:positionV relativeFrom="paragraph">
                <wp:posOffset>876300</wp:posOffset>
              </wp:positionV>
              <wp:extent cx="1626870" cy="76390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4537328" y="3402810"/>
                        <a:ext cx="1617345" cy="754380"/>
                      </a:xfrm>
                      <a:prstGeom prst="rect">
                        <a:avLst/>
                      </a:prstGeom>
                      <a:noFill/>
                      <a:ln>
                        <a:noFill/>
                      </a:ln>
                    </wps:spPr>
                    <wps:txbx>
                      <w:txbxContent>
                        <w:p w:rsidR="002C1852" w:rsidRDefault="00732AF1">
                          <w:pPr>
                            <w:jc w:val="center"/>
                            <w:textDirection w:val="btLr"/>
                          </w:pPr>
                          <w:r>
                            <w:rPr>
                              <w:rFonts w:ascii="Times" w:eastAsia="Times" w:hAnsi="Times" w:cs="Times"/>
                              <w:color w:val="000000"/>
                              <w:sz w:val="16"/>
                            </w:rPr>
                            <w:t>GARY R. HERBERT</w:t>
                          </w:r>
                        </w:p>
                        <w:p w:rsidR="002C1852" w:rsidRDefault="00732AF1">
                          <w:pPr>
                            <w:jc w:val="center"/>
                            <w:textDirection w:val="btLr"/>
                          </w:pPr>
                          <w:r>
                            <w:rPr>
                              <w:rFonts w:ascii="Times" w:eastAsia="Times" w:hAnsi="Times" w:cs="Times"/>
                              <w:i/>
                              <w:color w:val="000000"/>
                              <w:sz w:val="16"/>
                            </w:rPr>
                            <w:t>Governor</w:t>
                          </w:r>
                        </w:p>
                        <w:p w:rsidR="002C1852" w:rsidRDefault="002C1852">
                          <w:pPr>
                            <w:jc w:val="center"/>
                            <w:textDirection w:val="btLr"/>
                          </w:pPr>
                        </w:p>
                        <w:p w:rsidR="002C1852" w:rsidRDefault="00732AF1">
                          <w:pPr>
                            <w:jc w:val="center"/>
                            <w:textDirection w:val="btLr"/>
                          </w:pPr>
                          <w:r>
                            <w:rPr>
                              <w:rFonts w:ascii="Times" w:eastAsia="Times" w:hAnsi="Times" w:cs="Times"/>
                              <w:color w:val="000000"/>
                              <w:sz w:val="16"/>
                            </w:rPr>
                            <w:t>SPENCER J. COX</w:t>
                          </w:r>
                        </w:p>
                        <w:p w:rsidR="002C1852" w:rsidRDefault="00732AF1">
                          <w:pPr>
                            <w:jc w:val="center"/>
                            <w:textDirection w:val="btLr"/>
                          </w:pPr>
                          <w:r>
                            <w:rPr>
                              <w:rFonts w:ascii="Times" w:eastAsia="Times" w:hAnsi="Times" w:cs="Times"/>
                              <w:i/>
                              <w:color w:val="000000"/>
                              <w:sz w:val="16"/>
                            </w:rPr>
                            <w:t>Lieutenant Governor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-584199</wp:posOffset>
              </wp:positionH>
              <wp:positionV relativeFrom="paragraph">
                <wp:posOffset>876300</wp:posOffset>
              </wp:positionV>
              <wp:extent cx="1626870" cy="76390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626870" cy="76390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1117600</wp:posOffset>
              </wp:positionH>
              <wp:positionV relativeFrom="paragraph">
                <wp:posOffset>-266699</wp:posOffset>
              </wp:positionV>
              <wp:extent cx="38100" cy="1714500"/>
              <wp:effectExtent l="0" t="0" r="0" b="0"/>
              <wp:wrapSquare wrapText="bothSides" distT="0" distB="0" distL="114300" distR="114300"/>
              <wp:docPr id="3" name="Straight Arrow Connector 3"/>
              <wp:cNvGraphicFramePr/>
              <a:graphic xmlns:a="http://schemas.openxmlformats.org/drawingml/2006/main">
                <a:graphicData uri="http://schemas.microsoft.com/office/word/2010/wordprocessingShape">
                  <wps:wsp>
                    <wps:cNvCnPr/>
                    <wps:spPr>
                      <a:xfrm>
                        <a:off x="5346000" y="2922750"/>
                        <a:ext cx="0" cy="1714500"/>
                      </a:xfrm>
                      <a:prstGeom prst="straightConnector1">
                        <a:avLst/>
                      </a:prstGeom>
                      <a:noFill/>
                      <a:ln w="381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-266699</wp:posOffset>
              </wp:positionV>
              <wp:extent cx="38100" cy="171450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8100" cy="1714500"/>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simplePos x="0" y="0"/>
          <wp:positionH relativeFrom="column">
            <wp:posOffset>-152399</wp:posOffset>
          </wp:positionH>
          <wp:positionV relativeFrom="paragraph">
            <wp:posOffset>-160019</wp:posOffset>
          </wp:positionV>
          <wp:extent cx="762000" cy="753745"/>
          <wp:effectExtent l="0" t="0" r="0" b="0"/>
          <wp:wrapSquare wrapText="bothSides" distT="0" distB="0" distL="114300" distR="114300"/>
          <wp:docPr id="6" name="image6.png" descr="statesealBlue"/>
          <wp:cNvGraphicFramePr/>
          <a:graphic xmlns:a="http://schemas.openxmlformats.org/drawingml/2006/main">
            <a:graphicData uri="http://schemas.openxmlformats.org/drawingml/2006/picture">
              <pic:pic xmlns:pic="http://schemas.openxmlformats.org/drawingml/2006/picture">
                <pic:nvPicPr>
                  <pic:cNvPr id="0" name="image6.png" descr="statesealBlue"/>
                  <pic:cNvPicPr preferRelativeResize="0"/>
                </pic:nvPicPr>
                <pic:blipFill>
                  <a:blip r:embed="rId4"/>
                  <a:srcRect/>
                  <a:stretch>
                    <a:fillRect/>
                  </a:stretch>
                </pic:blipFill>
                <pic:spPr>
                  <a:xfrm>
                    <a:off x="0" y="0"/>
                    <a:ext cx="762000" cy="753745"/>
                  </a:xfrm>
                  <a:prstGeom prst="rect">
                    <a:avLst/>
                  </a:prstGeom>
                  <a:ln/>
                </pic:spPr>
              </pic:pic>
            </a:graphicData>
          </a:graphic>
        </wp:anchor>
      </w:drawing>
    </w:r>
    <w:r>
      <w:rPr>
        <w:noProof/>
      </w:rPr>
      <mc:AlternateContent>
        <mc:Choice Requires="wpg">
          <w:drawing>
            <wp:anchor distT="0" distB="0" distL="114300" distR="114300" simplePos="0" relativeHeight="251662336" behindDoc="0" locked="0" layoutInCell="1" hidden="0" allowOverlap="1">
              <wp:simplePos x="0" y="0"/>
              <wp:positionH relativeFrom="column">
                <wp:posOffset>1181100</wp:posOffset>
              </wp:positionH>
              <wp:positionV relativeFrom="paragraph">
                <wp:posOffset>-88899</wp:posOffset>
              </wp:positionV>
              <wp:extent cx="2014220" cy="1519555"/>
              <wp:effectExtent l="0" t="0" r="0" b="0"/>
              <wp:wrapNone/>
              <wp:docPr id="1" name="Rectangle 1"/>
              <wp:cNvGraphicFramePr/>
              <a:graphic xmlns:a="http://schemas.openxmlformats.org/drawingml/2006/main">
                <a:graphicData uri="http://schemas.microsoft.com/office/word/2010/wordprocessingShape">
                  <wps:wsp>
                    <wps:cNvSpPr/>
                    <wps:spPr>
                      <a:xfrm>
                        <a:off x="4343653" y="3024985"/>
                        <a:ext cx="2004695" cy="1510030"/>
                      </a:xfrm>
                      <a:prstGeom prst="rect">
                        <a:avLst/>
                      </a:prstGeom>
                      <a:solidFill>
                        <a:srgbClr val="FFFFFF"/>
                      </a:solidFill>
                      <a:ln>
                        <a:noFill/>
                      </a:ln>
                    </wps:spPr>
                    <wps:txbx>
                      <w:txbxContent>
                        <w:p w:rsidR="002C1852" w:rsidRDefault="00732AF1">
                          <w:pPr>
                            <w:jc w:val="center"/>
                            <w:textDirection w:val="btLr"/>
                          </w:pPr>
                          <w:r>
                            <w:rPr>
                              <w:rFonts w:ascii="Times" w:eastAsia="Times" w:hAnsi="Times" w:cs="Times"/>
                              <w:color w:val="000000"/>
                              <w:sz w:val="26"/>
                            </w:rPr>
                            <w:t>Department of Environmental Quality</w:t>
                          </w:r>
                        </w:p>
                        <w:p w:rsidR="002C1852" w:rsidRDefault="002C1852">
                          <w:pPr>
                            <w:jc w:val="center"/>
                            <w:textDirection w:val="btLr"/>
                          </w:pPr>
                        </w:p>
                        <w:p w:rsidR="002C1852" w:rsidRDefault="00732AF1">
                          <w:pPr>
                            <w:jc w:val="center"/>
                            <w:textDirection w:val="btLr"/>
                          </w:pPr>
                          <w:r>
                            <w:rPr>
                              <w:rFonts w:ascii="Times" w:eastAsia="Times" w:hAnsi="Times" w:cs="Times"/>
                              <w:color w:val="000000"/>
                              <w:sz w:val="16"/>
                            </w:rPr>
                            <w:t>L. Scott Baird</w:t>
                          </w:r>
                        </w:p>
                        <w:p w:rsidR="002C1852" w:rsidRDefault="00732AF1">
                          <w:pPr>
                            <w:jc w:val="center"/>
                            <w:textDirection w:val="btLr"/>
                          </w:pPr>
                          <w:r>
                            <w:rPr>
                              <w:rFonts w:ascii="Times" w:eastAsia="Times" w:hAnsi="Times" w:cs="Times"/>
                              <w:i/>
                              <w:color w:val="000000"/>
                              <w:sz w:val="16"/>
                            </w:rPr>
                            <w:t>Executive Director</w:t>
                          </w:r>
                        </w:p>
                        <w:p w:rsidR="002C1852" w:rsidRDefault="002C1852">
                          <w:pPr>
                            <w:jc w:val="center"/>
                            <w:textDirection w:val="btLr"/>
                          </w:pPr>
                        </w:p>
                        <w:p w:rsidR="002C1852" w:rsidRDefault="00732AF1">
                          <w:pPr>
                            <w:jc w:val="center"/>
                            <w:textDirection w:val="btLr"/>
                          </w:pPr>
                          <w:r>
                            <w:rPr>
                              <w:rFonts w:ascii="Times" w:eastAsia="Times" w:hAnsi="Times" w:cs="Times"/>
                              <w:color w:val="000000"/>
                              <w:sz w:val="16"/>
                            </w:rPr>
                            <w:t>Kim Shelley</w:t>
                          </w:r>
                        </w:p>
                        <w:p w:rsidR="002C1852" w:rsidRDefault="00732AF1">
                          <w:pPr>
                            <w:jc w:val="center"/>
                            <w:textDirection w:val="btLr"/>
                          </w:pPr>
                          <w:r>
                            <w:rPr>
                              <w:rFonts w:ascii="Times" w:eastAsia="Times" w:hAnsi="Times" w:cs="Times"/>
                              <w:i/>
                              <w:color w:val="000000"/>
                              <w:sz w:val="16"/>
                            </w:rPr>
                            <w:t>Deputy Director</w:t>
                          </w:r>
                        </w:p>
                        <w:p w:rsidR="002C1852" w:rsidRDefault="002C1852">
                          <w:pPr>
                            <w:textDirection w:val="btLr"/>
                          </w:pPr>
                        </w:p>
                        <w:p w:rsidR="002C1852" w:rsidRDefault="002C185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-88899</wp:posOffset>
              </wp:positionV>
              <wp:extent cx="2014220" cy="1519555"/>
              <wp:effectExtent b="0" l="0" r="0" t="0"/>
              <wp:wrapNone/>
              <wp:docPr id="1" name="image1.png"/>
              <a:graphic>
                <a:graphicData uri="http://schemas.openxmlformats.org/drawingml/2006/picture">
                  <pic:pic>
                    <pic:nvPicPr>
                      <pic:cNvPr id="0" name="image1.png"/>
                      <pic:cNvPicPr preferRelativeResize="0"/>
                    </pic:nvPicPr>
                    <pic:blipFill>
                      <a:blip r:embed="rId5"/>
                      <a:srcRect/>
                      <a:stretch>
                        <a:fillRect/>
                      </a:stretch>
                    </pic:blipFill>
                    <pic:spPr>
                      <a:xfrm>
                        <a:off x="0" y="0"/>
                        <a:ext cx="2014220" cy="151955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4483100</wp:posOffset>
              </wp:positionH>
              <wp:positionV relativeFrom="paragraph">
                <wp:posOffset>-63499</wp:posOffset>
              </wp:positionV>
              <wp:extent cx="1903360" cy="2269020"/>
              <wp:effectExtent l="0" t="0" r="0" b="0"/>
              <wp:wrapNone/>
              <wp:docPr id="5" name="Rectangle 5"/>
              <wp:cNvGraphicFramePr/>
              <a:graphic xmlns:a="http://schemas.openxmlformats.org/drawingml/2006/main">
                <a:graphicData uri="http://schemas.microsoft.com/office/word/2010/wordprocessingShape">
                  <wps:wsp>
                    <wps:cNvSpPr/>
                    <wps:spPr>
                      <a:xfrm>
                        <a:off x="4399083" y="2650253"/>
                        <a:ext cx="1893835" cy="2259495"/>
                      </a:xfrm>
                      <a:prstGeom prst="rect">
                        <a:avLst/>
                      </a:prstGeom>
                      <a:solidFill>
                        <a:srgbClr val="FFFFFF"/>
                      </a:solidFill>
                      <a:ln>
                        <a:noFill/>
                      </a:ln>
                    </wps:spPr>
                    <wps:txbx>
                      <w:txbxContent>
                        <w:p w:rsidR="002C1852" w:rsidRDefault="00732AF1">
                          <w:pPr>
                            <w:jc w:val="right"/>
                            <w:textDirection w:val="btLr"/>
                          </w:pPr>
                          <w:r>
                            <w:rPr>
                              <w:b/>
                              <w:color w:val="000000"/>
                              <w:sz w:val="28"/>
                            </w:rPr>
                            <w:t>NEWS RELEASE</w:t>
                          </w:r>
                        </w:p>
                        <w:p w:rsidR="002C1852" w:rsidRDefault="00732AF1">
                          <w:pPr>
                            <w:jc w:val="right"/>
                            <w:textDirection w:val="btLr"/>
                          </w:pPr>
                          <w:r>
                            <w:rPr>
                              <w:color w:val="000000"/>
                              <w:sz w:val="16"/>
                            </w:rPr>
                            <w:t xml:space="preserve"> </w:t>
                          </w:r>
                          <w:r>
                            <w:rPr>
                              <w:color w:val="000000"/>
                            </w:rPr>
                            <w:t>Friday, March 6, 2020</w:t>
                          </w:r>
                        </w:p>
                        <w:p w:rsidR="002C1852" w:rsidRDefault="002C1852">
                          <w:pPr>
                            <w:textDirection w:val="btLr"/>
                          </w:pPr>
                        </w:p>
                        <w:p w:rsidR="002C1852" w:rsidRDefault="00732AF1">
                          <w:pPr>
                            <w:jc w:val="right"/>
                            <w:textDirection w:val="btLr"/>
                          </w:pPr>
                          <w:r>
                            <w:rPr>
                              <w:color w:val="000000"/>
                            </w:rPr>
                            <w:t>CONTACT</w:t>
                          </w:r>
                        </w:p>
                        <w:p w:rsidR="002C1852" w:rsidRDefault="00732AF1">
                          <w:pPr>
                            <w:jc w:val="right"/>
                            <w:textDirection w:val="btLr"/>
                          </w:pPr>
                          <w:r>
                            <w:rPr>
                              <w:color w:val="000000"/>
                            </w:rPr>
                            <w:t>Jared Mendenhall</w:t>
                          </w:r>
                        </w:p>
                        <w:p w:rsidR="002C1852" w:rsidRDefault="00732AF1">
                          <w:pPr>
                            <w:jc w:val="right"/>
                            <w:textDirection w:val="btLr"/>
                          </w:pPr>
                          <w:r>
                            <w:rPr>
                              <w:color w:val="000000"/>
                            </w:rPr>
                            <w:t>Public Information Officer</w:t>
                          </w:r>
                        </w:p>
                        <w:p w:rsidR="002C1852" w:rsidRDefault="00732AF1">
                          <w:pPr>
                            <w:jc w:val="right"/>
                            <w:textDirection w:val="btLr"/>
                          </w:pPr>
                          <w:r>
                            <w:rPr>
                              <w:color w:val="000000"/>
                            </w:rPr>
                            <w:t>Cell: 801-707-0817</w:t>
                          </w:r>
                        </w:p>
                        <w:p w:rsidR="002C1852" w:rsidRDefault="00732AF1">
                          <w:pPr>
                            <w:jc w:val="right"/>
                            <w:textDirection w:val="btLr"/>
                          </w:pPr>
                          <w:r>
                            <w:rPr>
                              <w:i/>
                              <w:color w:val="000000"/>
                              <w:sz w:val="20"/>
                            </w:rPr>
                            <w:t>jmendenhall@utah.gov</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4483100</wp:posOffset>
              </wp:positionH>
              <wp:positionV relativeFrom="paragraph">
                <wp:posOffset>-63499</wp:posOffset>
              </wp:positionV>
              <wp:extent cx="1903360" cy="226902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903360" cy="226902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52"/>
    <w:rsid w:val="002C1852"/>
    <w:rsid w:val="00732AF1"/>
    <w:rsid w:val="00B1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7D5CB-73C3-4BA2-BC21-EE465ECC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witter.com/UtahDE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utahde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q.utah.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2020-03-11T14:46:00Z</dcterms:created>
  <dcterms:modified xsi:type="dcterms:W3CDTF">2020-03-11T14:46:00Z</dcterms:modified>
</cp:coreProperties>
</file>