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02E1" w14:textId="77777777" w:rsidR="00490895" w:rsidRDefault="00055C0B" w:rsidP="00B72138">
      <w:pPr>
        <w:jc w:val="center"/>
        <w:rPr>
          <w:rFonts w:asciiTheme="majorHAnsi" w:hAnsiTheme="majorHAnsi" w:cstheme="majorHAnsi"/>
          <w:b/>
          <w:sz w:val="36"/>
          <w:szCs w:val="36"/>
        </w:rPr>
      </w:pPr>
      <w:bookmarkStart w:id="0" w:name="_GoBack"/>
      <w:bookmarkEnd w:id="0"/>
      <w:r>
        <w:rPr>
          <w:rFonts w:asciiTheme="majorHAnsi" w:hAnsiTheme="majorHAnsi" w:cstheme="majorHAnsi"/>
          <w:b/>
          <w:sz w:val="36"/>
          <w:szCs w:val="36"/>
        </w:rPr>
        <w:t xml:space="preserve">                                                                                                                                                                                                                                                                                                                                                                                                                                                                                     </w:t>
      </w:r>
    </w:p>
    <w:p w14:paraId="3DD0F188" w14:textId="47CE42A2" w:rsidR="000A45D6" w:rsidRPr="00B72138" w:rsidRDefault="00490895" w:rsidP="00B72138">
      <w:pPr>
        <w:jc w:val="center"/>
        <w:rPr>
          <w:rFonts w:asciiTheme="majorHAnsi" w:hAnsiTheme="majorHAnsi" w:cstheme="majorHAnsi"/>
          <w:b/>
          <w:sz w:val="36"/>
          <w:szCs w:val="36"/>
        </w:rPr>
      </w:pPr>
      <w:r>
        <w:rPr>
          <w:rFonts w:asciiTheme="majorHAnsi" w:hAnsiTheme="majorHAnsi" w:cstheme="majorHAnsi"/>
          <w:b/>
          <w:sz w:val="36"/>
          <w:szCs w:val="36"/>
        </w:rPr>
        <w:t xml:space="preserve">  </w:t>
      </w:r>
      <w:r w:rsidR="00B44CAC" w:rsidRPr="00B72138">
        <w:rPr>
          <w:rFonts w:asciiTheme="majorHAnsi" w:hAnsiTheme="majorHAnsi" w:cstheme="majorHAnsi"/>
          <w:b/>
          <w:sz w:val="36"/>
          <w:szCs w:val="36"/>
        </w:rPr>
        <w:t>Moderate Income Housing</w:t>
      </w:r>
    </w:p>
    <w:p w14:paraId="13CEB810" w14:textId="4AFD7F04" w:rsidR="00B44CAC" w:rsidRPr="004F48C4" w:rsidRDefault="00F013A0">
      <w:pPr>
        <w:rPr>
          <w:rFonts w:asciiTheme="majorHAnsi" w:hAnsiTheme="majorHAnsi" w:cstheme="majorHAnsi"/>
          <w:sz w:val="28"/>
          <w:szCs w:val="28"/>
        </w:rPr>
      </w:pPr>
      <w:r>
        <w:rPr>
          <w:rFonts w:asciiTheme="majorHAnsi" w:hAnsiTheme="majorHAnsi" w:cstheme="majorHAnsi"/>
          <w:sz w:val="28"/>
          <w:szCs w:val="28"/>
        </w:rPr>
        <w:t xml:space="preserve">An element of </w:t>
      </w:r>
      <w:r w:rsidR="001C0319">
        <w:rPr>
          <w:rFonts w:asciiTheme="majorHAnsi" w:hAnsiTheme="majorHAnsi" w:cstheme="majorHAnsi"/>
          <w:sz w:val="28"/>
          <w:szCs w:val="28"/>
        </w:rPr>
        <w:t>Daniel’s</w:t>
      </w:r>
      <w:r w:rsidR="00B44CAC" w:rsidRPr="004F48C4">
        <w:rPr>
          <w:rFonts w:asciiTheme="majorHAnsi" w:hAnsiTheme="majorHAnsi" w:cstheme="majorHAnsi"/>
          <w:sz w:val="28"/>
          <w:szCs w:val="28"/>
        </w:rPr>
        <w:t xml:space="preserve"> General Plan</w:t>
      </w:r>
    </w:p>
    <w:p w14:paraId="7C78067D" w14:textId="77777777" w:rsidR="00B44CAC" w:rsidRPr="004F48C4" w:rsidRDefault="00B44CAC">
      <w:pPr>
        <w:rPr>
          <w:rFonts w:asciiTheme="majorHAnsi" w:hAnsiTheme="majorHAnsi" w:cstheme="majorHAnsi"/>
          <w:sz w:val="28"/>
          <w:szCs w:val="28"/>
        </w:rPr>
      </w:pPr>
    </w:p>
    <w:p w14:paraId="239DF0F5" w14:textId="77777777" w:rsidR="00B44CAC" w:rsidRPr="00C36D84" w:rsidRDefault="00B44CAC">
      <w:pPr>
        <w:rPr>
          <w:rFonts w:asciiTheme="majorHAnsi" w:hAnsiTheme="majorHAnsi" w:cstheme="majorHAnsi"/>
          <w:b/>
          <w:sz w:val="28"/>
          <w:szCs w:val="28"/>
        </w:rPr>
      </w:pPr>
      <w:r w:rsidRPr="00C36D84">
        <w:rPr>
          <w:rFonts w:asciiTheme="majorHAnsi" w:hAnsiTheme="majorHAnsi" w:cstheme="majorHAnsi"/>
          <w:b/>
          <w:sz w:val="28"/>
          <w:szCs w:val="28"/>
        </w:rPr>
        <w:t>What does this element do?</w:t>
      </w:r>
    </w:p>
    <w:p w14:paraId="7D31B11B" w14:textId="3D089AEC" w:rsidR="00B44CAC" w:rsidRPr="004F48C4" w:rsidRDefault="00B44CAC" w:rsidP="00B44CAC">
      <w:pPr>
        <w:pStyle w:val="NormalWeb"/>
        <w:spacing w:before="0" w:beforeAutospacing="0" w:after="320" w:afterAutospacing="0"/>
        <w:rPr>
          <w:rFonts w:asciiTheme="majorHAnsi" w:hAnsiTheme="majorHAnsi" w:cstheme="majorHAnsi"/>
          <w:sz w:val="28"/>
          <w:szCs w:val="28"/>
        </w:rPr>
      </w:pPr>
      <w:r w:rsidRPr="004F48C4">
        <w:rPr>
          <w:rFonts w:asciiTheme="majorHAnsi" w:hAnsiTheme="majorHAnsi" w:cstheme="majorHAnsi"/>
          <w:sz w:val="28"/>
          <w:szCs w:val="28"/>
        </w:rPr>
        <w:t xml:space="preserve">The purpose of this moderate-income housing element of the general plan is to ensure that </w:t>
      </w:r>
      <w:r w:rsidR="001C0319">
        <w:rPr>
          <w:rFonts w:asciiTheme="majorHAnsi" w:hAnsiTheme="majorHAnsi" w:cstheme="majorHAnsi"/>
          <w:sz w:val="28"/>
          <w:szCs w:val="28"/>
        </w:rPr>
        <w:t>Dani</w:t>
      </w:r>
      <w:r w:rsidR="00F40E34">
        <w:rPr>
          <w:rFonts w:asciiTheme="majorHAnsi" w:hAnsiTheme="majorHAnsi" w:cstheme="majorHAnsi"/>
          <w:sz w:val="28"/>
          <w:szCs w:val="28"/>
        </w:rPr>
        <w:t>el</w:t>
      </w:r>
      <w:r w:rsidRPr="004F48C4">
        <w:rPr>
          <w:rFonts w:asciiTheme="majorHAnsi" w:hAnsiTheme="majorHAnsi" w:cstheme="majorHAnsi"/>
          <w:sz w:val="28"/>
          <w:szCs w:val="28"/>
        </w:rPr>
        <w:t xml:space="preserve"> provides a reasonable opportunity for a variety of housing, including moderate income housing, to meet the needs of those desiring to live in the City.</w:t>
      </w:r>
    </w:p>
    <w:p w14:paraId="76644B4C" w14:textId="080986F5" w:rsidR="00B44CAC" w:rsidRPr="004F48C4" w:rsidRDefault="00B44CAC" w:rsidP="00B44CAC">
      <w:pPr>
        <w:pStyle w:val="NormalWeb"/>
        <w:spacing w:before="0" w:beforeAutospacing="0" w:after="320" w:afterAutospacing="0"/>
        <w:rPr>
          <w:rFonts w:asciiTheme="majorHAnsi" w:hAnsiTheme="majorHAnsi" w:cstheme="majorHAnsi"/>
          <w:sz w:val="28"/>
          <w:szCs w:val="28"/>
        </w:rPr>
      </w:pPr>
      <w:r w:rsidRPr="004F48C4">
        <w:rPr>
          <w:rFonts w:asciiTheme="majorHAnsi" w:hAnsiTheme="majorHAnsi" w:cstheme="majorHAnsi"/>
          <w:sz w:val="28"/>
          <w:szCs w:val="28"/>
        </w:rPr>
        <w:t>According to Utah Code 10-9a-103</w:t>
      </w:r>
      <w:r w:rsidR="00E02247">
        <w:rPr>
          <w:rFonts w:asciiTheme="majorHAnsi" w:hAnsiTheme="majorHAnsi" w:cstheme="majorHAnsi"/>
          <w:sz w:val="28"/>
          <w:szCs w:val="28"/>
        </w:rPr>
        <w:t xml:space="preserve"> (41)</w:t>
      </w:r>
    </w:p>
    <w:p w14:paraId="00A9916F" w14:textId="77777777" w:rsidR="00C21612" w:rsidRPr="004F48C4" w:rsidRDefault="00C21612" w:rsidP="00C21612">
      <w:pPr>
        <w:spacing w:after="0" w:line="240" w:lineRule="auto"/>
        <w:rPr>
          <w:rFonts w:asciiTheme="majorHAnsi" w:eastAsia="Times New Roman" w:hAnsiTheme="majorHAnsi" w:cstheme="majorHAnsi"/>
          <w:sz w:val="28"/>
          <w:szCs w:val="28"/>
        </w:rPr>
      </w:pPr>
      <w:r w:rsidRPr="004F48C4">
        <w:rPr>
          <w:rFonts w:asciiTheme="majorHAnsi" w:eastAsia="Times New Roman" w:hAnsiTheme="majorHAnsi" w:cstheme="majorHAnsi"/>
          <w:sz w:val="28"/>
          <w:szCs w:val="28"/>
        </w:rPr>
        <w:t>"Plan for moderate income housing" means a written document adopted by a city legislative body that includes:</w:t>
      </w:r>
    </w:p>
    <w:p w14:paraId="043CF551" w14:textId="4ABAF34A" w:rsidR="00C21612" w:rsidRDefault="00C21612" w:rsidP="00B72138">
      <w:pPr>
        <w:pStyle w:val="ListParagraph"/>
        <w:numPr>
          <w:ilvl w:val="0"/>
          <w:numId w:val="3"/>
        </w:numPr>
        <w:spacing w:after="0" w:line="240" w:lineRule="auto"/>
        <w:textAlignment w:val="baseline"/>
        <w:rPr>
          <w:rFonts w:asciiTheme="majorHAnsi" w:eastAsia="Times New Roman" w:hAnsiTheme="majorHAnsi" w:cstheme="majorHAnsi"/>
          <w:sz w:val="28"/>
          <w:szCs w:val="28"/>
        </w:rPr>
      </w:pPr>
      <w:r w:rsidRPr="00B72138">
        <w:rPr>
          <w:rFonts w:asciiTheme="majorHAnsi" w:eastAsia="Times New Roman" w:hAnsiTheme="majorHAnsi" w:cstheme="majorHAnsi"/>
          <w:sz w:val="28"/>
          <w:szCs w:val="28"/>
        </w:rPr>
        <w:t>An estimate of the existing supply of moderate income housing located within the city</w:t>
      </w:r>
    </w:p>
    <w:p w14:paraId="319BDB6D" w14:textId="1BE84C63" w:rsidR="00C21612" w:rsidRDefault="00C21612" w:rsidP="00B72138">
      <w:pPr>
        <w:pStyle w:val="ListParagraph"/>
        <w:numPr>
          <w:ilvl w:val="0"/>
          <w:numId w:val="3"/>
        </w:numPr>
        <w:spacing w:after="0" w:line="240" w:lineRule="auto"/>
        <w:textAlignment w:val="baseline"/>
        <w:rPr>
          <w:rFonts w:asciiTheme="majorHAnsi" w:eastAsia="Times New Roman" w:hAnsiTheme="majorHAnsi" w:cstheme="majorHAnsi"/>
          <w:sz w:val="28"/>
          <w:szCs w:val="28"/>
        </w:rPr>
      </w:pPr>
      <w:r w:rsidRPr="00B72138">
        <w:rPr>
          <w:rFonts w:asciiTheme="majorHAnsi" w:eastAsia="Times New Roman" w:hAnsiTheme="majorHAnsi" w:cstheme="majorHAnsi"/>
          <w:sz w:val="28"/>
          <w:szCs w:val="28"/>
        </w:rPr>
        <w:t>An estimate of the need for moderate income housing in the city for the next five years as revised biennially;</w:t>
      </w:r>
    </w:p>
    <w:p w14:paraId="433DB002" w14:textId="28FD9C16" w:rsidR="00C21612" w:rsidRDefault="00C21612" w:rsidP="00B72138">
      <w:pPr>
        <w:pStyle w:val="ListParagraph"/>
        <w:numPr>
          <w:ilvl w:val="0"/>
          <w:numId w:val="3"/>
        </w:numPr>
        <w:spacing w:after="0" w:line="240" w:lineRule="auto"/>
        <w:textAlignment w:val="baseline"/>
        <w:rPr>
          <w:rFonts w:asciiTheme="majorHAnsi" w:eastAsia="Times New Roman" w:hAnsiTheme="majorHAnsi" w:cstheme="majorHAnsi"/>
          <w:sz w:val="28"/>
          <w:szCs w:val="28"/>
        </w:rPr>
      </w:pPr>
      <w:r w:rsidRPr="00B72138">
        <w:rPr>
          <w:rFonts w:asciiTheme="majorHAnsi" w:eastAsia="Times New Roman" w:hAnsiTheme="majorHAnsi" w:cstheme="majorHAnsi"/>
          <w:sz w:val="28"/>
          <w:szCs w:val="28"/>
        </w:rPr>
        <w:t>A survey of total residential land use;</w:t>
      </w:r>
    </w:p>
    <w:p w14:paraId="30961B40" w14:textId="62601A45" w:rsidR="00C21612" w:rsidRDefault="00C21612" w:rsidP="00B72138">
      <w:pPr>
        <w:pStyle w:val="ListParagraph"/>
        <w:numPr>
          <w:ilvl w:val="0"/>
          <w:numId w:val="3"/>
        </w:numPr>
        <w:spacing w:after="0" w:line="240" w:lineRule="auto"/>
        <w:textAlignment w:val="baseline"/>
        <w:rPr>
          <w:rFonts w:asciiTheme="majorHAnsi" w:eastAsia="Times New Roman" w:hAnsiTheme="majorHAnsi" w:cstheme="majorHAnsi"/>
          <w:sz w:val="28"/>
          <w:szCs w:val="28"/>
        </w:rPr>
      </w:pPr>
      <w:r w:rsidRPr="00B72138">
        <w:rPr>
          <w:rFonts w:asciiTheme="majorHAnsi" w:eastAsia="Times New Roman" w:hAnsiTheme="majorHAnsi" w:cstheme="majorHAnsi"/>
          <w:sz w:val="28"/>
          <w:szCs w:val="28"/>
        </w:rPr>
        <w:t>An evaluation of how existing land uses and zones affect opportunities for moderate income housing; and</w:t>
      </w:r>
    </w:p>
    <w:p w14:paraId="09A0323B" w14:textId="77777777" w:rsidR="00C21612" w:rsidRPr="00B72138" w:rsidRDefault="00C21612" w:rsidP="00B72138">
      <w:pPr>
        <w:pStyle w:val="ListParagraph"/>
        <w:numPr>
          <w:ilvl w:val="0"/>
          <w:numId w:val="3"/>
        </w:numPr>
        <w:spacing w:after="0" w:line="240" w:lineRule="auto"/>
        <w:textAlignment w:val="baseline"/>
        <w:rPr>
          <w:rFonts w:asciiTheme="majorHAnsi" w:eastAsia="Times New Roman" w:hAnsiTheme="majorHAnsi" w:cstheme="majorHAnsi"/>
          <w:sz w:val="28"/>
          <w:szCs w:val="28"/>
        </w:rPr>
      </w:pPr>
      <w:r w:rsidRPr="00B72138">
        <w:rPr>
          <w:rFonts w:asciiTheme="majorHAnsi" w:eastAsia="Times New Roman" w:hAnsiTheme="majorHAnsi" w:cstheme="majorHAnsi"/>
          <w:sz w:val="28"/>
          <w:szCs w:val="28"/>
        </w:rPr>
        <w:t>A description of the city’s program to encourage an adequate supply of moderate income housing</w:t>
      </w:r>
    </w:p>
    <w:p w14:paraId="61B3BBF3" w14:textId="77777777" w:rsidR="00C21612" w:rsidRPr="004F48C4" w:rsidRDefault="00C21612" w:rsidP="00C21612">
      <w:pPr>
        <w:spacing w:after="320" w:line="240" w:lineRule="auto"/>
        <w:rPr>
          <w:rFonts w:asciiTheme="majorHAnsi" w:eastAsia="Times New Roman" w:hAnsiTheme="majorHAnsi" w:cstheme="majorHAnsi"/>
          <w:sz w:val="28"/>
          <w:szCs w:val="28"/>
        </w:rPr>
      </w:pPr>
    </w:p>
    <w:p w14:paraId="473E5429" w14:textId="77777777" w:rsidR="00C21612" w:rsidRPr="00C36D84" w:rsidRDefault="00C21612" w:rsidP="00C21612">
      <w:pPr>
        <w:spacing w:after="320" w:line="240" w:lineRule="auto"/>
        <w:rPr>
          <w:rFonts w:asciiTheme="majorHAnsi" w:eastAsia="Times New Roman" w:hAnsiTheme="majorHAnsi" w:cstheme="majorHAnsi"/>
          <w:b/>
          <w:sz w:val="28"/>
          <w:szCs w:val="28"/>
        </w:rPr>
      </w:pPr>
      <w:r w:rsidRPr="00C36D84">
        <w:rPr>
          <w:rFonts w:asciiTheme="majorHAnsi" w:eastAsia="Times New Roman" w:hAnsiTheme="majorHAnsi" w:cstheme="majorHAnsi"/>
          <w:b/>
          <w:sz w:val="28"/>
          <w:szCs w:val="28"/>
        </w:rPr>
        <w:t>Moderate Income Housing Defined</w:t>
      </w:r>
    </w:p>
    <w:p w14:paraId="3D2F7E8A" w14:textId="4889D3A3" w:rsidR="00C21612" w:rsidRDefault="00C21612" w:rsidP="00C21612">
      <w:pPr>
        <w:spacing w:after="320" w:line="240" w:lineRule="auto"/>
        <w:rPr>
          <w:rFonts w:asciiTheme="majorHAnsi" w:eastAsia="Times New Roman" w:hAnsiTheme="majorHAnsi" w:cstheme="majorHAnsi"/>
          <w:sz w:val="28"/>
          <w:szCs w:val="28"/>
        </w:rPr>
      </w:pPr>
      <w:r w:rsidRPr="004F48C4">
        <w:rPr>
          <w:rFonts w:asciiTheme="majorHAnsi" w:eastAsia="Times New Roman" w:hAnsiTheme="majorHAnsi" w:cstheme="majorHAnsi"/>
          <w:sz w:val="28"/>
          <w:szCs w:val="28"/>
        </w:rPr>
        <w:t>Moderate income housing is defined as (Utah Annotated Code 10‐9a‐103‐</w:t>
      </w:r>
      <w:r w:rsidR="00B03623">
        <w:rPr>
          <w:rFonts w:asciiTheme="majorHAnsi" w:eastAsia="Times New Roman" w:hAnsiTheme="majorHAnsi" w:cstheme="majorHAnsi"/>
          <w:sz w:val="28"/>
          <w:szCs w:val="28"/>
        </w:rPr>
        <w:t>34</w:t>
      </w:r>
      <w:r w:rsidRPr="004F48C4">
        <w:rPr>
          <w:rFonts w:asciiTheme="majorHAnsi" w:eastAsia="Times New Roman" w:hAnsiTheme="majorHAnsi" w:cstheme="majorHAnsi"/>
          <w:sz w:val="28"/>
          <w:szCs w:val="28"/>
        </w:rPr>
        <w:t>) “...housing occupied or reserved for occupancy by households with a gross household income equal to or less than 80% of the median gross income for households of the same size in the county in which the city is located.” The 201</w:t>
      </w:r>
      <w:r w:rsidR="001C0319">
        <w:rPr>
          <w:rFonts w:asciiTheme="majorHAnsi" w:eastAsia="Times New Roman" w:hAnsiTheme="majorHAnsi" w:cstheme="majorHAnsi"/>
          <w:sz w:val="28"/>
          <w:szCs w:val="28"/>
        </w:rPr>
        <w:t>6</w:t>
      </w:r>
      <w:r w:rsidRPr="004F48C4">
        <w:rPr>
          <w:rFonts w:asciiTheme="majorHAnsi" w:eastAsia="Times New Roman" w:hAnsiTheme="majorHAnsi" w:cstheme="majorHAnsi"/>
          <w:sz w:val="28"/>
          <w:szCs w:val="28"/>
        </w:rPr>
        <w:t xml:space="preserve"> Area Median Income </w:t>
      </w:r>
      <w:r w:rsidR="00B72138">
        <w:rPr>
          <w:rFonts w:asciiTheme="majorHAnsi" w:eastAsia="Times New Roman" w:hAnsiTheme="majorHAnsi" w:cstheme="majorHAnsi"/>
          <w:sz w:val="28"/>
          <w:szCs w:val="28"/>
        </w:rPr>
        <w:t>(</w:t>
      </w:r>
      <w:r w:rsidRPr="004F48C4">
        <w:rPr>
          <w:rFonts w:asciiTheme="majorHAnsi" w:eastAsia="Times New Roman" w:hAnsiTheme="majorHAnsi" w:cstheme="majorHAnsi"/>
          <w:sz w:val="28"/>
          <w:szCs w:val="28"/>
        </w:rPr>
        <w:t>AMI</w:t>
      </w:r>
      <w:r w:rsidR="00B72138">
        <w:rPr>
          <w:rFonts w:asciiTheme="majorHAnsi" w:eastAsia="Times New Roman" w:hAnsiTheme="majorHAnsi" w:cstheme="majorHAnsi"/>
          <w:sz w:val="28"/>
          <w:szCs w:val="28"/>
        </w:rPr>
        <w:t>)</w:t>
      </w:r>
      <w:r w:rsidRPr="004F48C4">
        <w:rPr>
          <w:rFonts w:asciiTheme="majorHAnsi" w:eastAsia="Times New Roman" w:hAnsiTheme="majorHAnsi" w:cstheme="majorHAnsi"/>
          <w:sz w:val="28"/>
          <w:szCs w:val="28"/>
        </w:rPr>
        <w:t xml:space="preserve">, as provided by HUD office of Community Development (CPD), for </w:t>
      </w:r>
      <w:r w:rsidR="00B03623">
        <w:rPr>
          <w:rFonts w:asciiTheme="majorHAnsi" w:eastAsia="Times New Roman" w:hAnsiTheme="majorHAnsi" w:cstheme="majorHAnsi"/>
          <w:sz w:val="28"/>
          <w:szCs w:val="28"/>
        </w:rPr>
        <w:t>Wasatch</w:t>
      </w:r>
      <w:r w:rsidRPr="004F48C4">
        <w:rPr>
          <w:rFonts w:asciiTheme="majorHAnsi" w:eastAsia="Times New Roman" w:hAnsiTheme="majorHAnsi" w:cstheme="majorHAnsi"/>
          <w:sz w:val="28"/>
          <w:szCs w:val="28"/>
        </w:rPr>
        <w:t xml:space="preserve"> County is $</w:t>
      </w:r>
      <w:r w:rsidR="001C0319">
        <w:rPr>
          <w:rFonts w:asciiTheme="majorHAnsi" w:eastAsia="Times New Roman" w:hAnsiTheme="majorHAnsi" w:cstheme="majorHAnsi"/>
          <w:sz w:val="28"/>
          <w:szCs w:val="28"/>
        </w:rPr>
        <w:t>71,337</w:t>
      </w:r>
      <w:r w:rsidRPr="004F48C4">
        <w:rPr>
          <w:rFonts w:asciiTheme="majorHAnsi" w:eastAsia="Times New Roman" w:hAnsiTheme="majorHAnsi" w:cstheme="majorHAnsi"/>
          <w:sz w:val="28"/>
          <w:szCs w:val="28"/>
        </w:rPr>
        <w:t xml:space="preserve">. </w:t>
      </w:r>
      <w:r w:rsidR="001C0319">
        <w:rPr>
          <w:rFonts w:asciiTheme="majorHAnsi" w:eastAsia="Times New Roman" w:hAnsiTheme="majorHAnsi" w:cstheme="majorHAnsi"/>
          <w:sz w:val="28"/>
          <w:szCs w:val="28"/>
        </w:rPr>
        <w:t>Daniel</w:t>
      </w:r>
      <w:r w:rsidRPr="004F48C4">
        <w:rPr>
          <w:rFonts w:asciiTheme="majorHAnsi" w:eastAsia="Times New Roman" w:hAnsiTheme="majorHAnsi" w:cstheme="majorHAnsi"/>
          <w:sz w:val="28"/>
          <w:szCs w:val="28"/>
        </w:rPr>
        <w:t xml:space="preserve"> median household income level as provided by </w:t>
      </w:r>
      <w:r w:rsidR="00C63630">
        <w:rPr>
          <w:rFonts w:asciiTheme="majorHAnsi" w:eastAsia="Times New Roman" w:hAnsiTheme="majorHAnsi" w:cstheme="majorHAnsi"/>
          <w:sz w:val="28"/>
          <w:szCs w:val="28"/>
        </w:rPr>
        <w:t xml:space="preserve">the 2012-2016 </w:t>
      </w:r>
      <w:r w:rsidR="004D781E">
        <w:rPr>
          <w:rFonts w:asciiTheme="majorHAnsi" w:eastAsia="Times New Roman" w:hAnsiTheme="majorHAnsi" w:cstheme="majorHAnsi"/>
          <w:sz w:val="28"/>
          <w:szCs w:val="28"/>
        </w:rPr>
        <w:t>ACS</w:t>
      </w:r>
      <w:r w:rsidRPr="004F48C4">
        <w:rPr>
          <w:rFonts w:asciiTheme="majorHAnsi" w:eastAsia="Times New Roman" w:hAnsiTheme="majorHAnsi" w:cstheme="majorHAnsi"/>
          <w:sz w:val="28"/>
          <w:szCs w:val="28"/>
        </w:rPr>
        <w:t xml:space="preserve"> is $</w:t>
      </w:r>
      <w:r w:rsidR="001C0319">
        <w:rPr>
          <w:rFonts w:asciiTheme="majorHAnsi" w:eastAsia="Times New Roman" w:hAnsiTheme="majorHAnsi" w:cstheme="majorHAnsi"/>
          <w:sz w:val="28"/>
          <w:szCs w:val="28"/>
        </w:rPr>
        <w:t>76,389</w:t>
      </w:r>
      <w:r w:rsidRPr="004F48C4">
        <w:rPr>
          <w:rFonts w:asciiTheme="majorHAnsi" w:eastAsia="Times New Roman" w:hAnsiTheme="majorHAnsi" w:cstheme="majorHAnsi"/>
          <w:sz w:val="28"/>
          <w:szCs w:val="28"/>
        </w:rPr>
        <w:t>.</w:t>
      </w:r>
    </w:p>
    <w:p w14:paraId="0DF1B2CA" w14:textId="74987C43" w:rsidR="00B72138" w:rsidRDefault="00ED2BC5" w:rsidP="00C21612">
      <w:pPr>
        <w:spacing w:after="320" w:line="240" w:lineRule="auto"/>
        <w:rPr>
          <w:rFonts w:asciiTheme="majorHAnsi" w:eastAsia="Times New Roman" w:hAnsiTheme="majorHAnsi" w:cstheme="majorHAnsi"/>
          <w:sz w:val="28"/>
          <w:szCs w:val="28"/>
        </w:rPr>
      </w:pPr>
      <w:r w:rsidRPr="00ED2BC5">
        <w:rPr>
          <w:rFonts w:asciiTheme="majorHAnsi" w:eastAsia="Times New Roman" w:hAnsiTheme="majorHAnsi" w:cstheme="majorHAnsi"/>
          <w:sz w:val="28"/>
          <w:szCs w:val="28"/>
        </w:rPr>
        <w:lastRenderedPageBreak/>
        <w:t>In order to place the definition of the State Code in real terms, it is helpful to understand that</w:t>
      </w:r>
      <w:r>
        <w:rPr>
          <w:rFonts w:asciiTheme="majorHAnsi" w:eastAsia="Times New Roman" w:hAnsiTheme="majorHAnsi" w:cstheme="majorHAnsi"/>
          <w:sz w:val="28"/>
          <w:szCs w:val="28"/>
        </w:rPr>
        <w:t xml:space="preserve"> </w:t>
      </w:r>
      <w:r w:rsidRPr="00ED2BC5">
        <w:rPr>
          <w:rFonts w:asciiTheme="majorHAnsi" w:eastAsia="Times New Roman" w:hAnsiTheme="majorHAnsi" w:cstheme="majorHAnsi"/>
          <w:sz w:val="28"/>
          <w:szCs w:val="28"/>
        </w:rPr>
        <w:t>affordable housing is generally deemed to be “Affordable” if the cost of monthly housing expenses is</w:t>
      </w:r>
      <w:r>
        <w:rPr>
          <w:rFonts w:asciiTheme="majorHAnsi" w:eastAsia="Times New Roman" w:hAnsiTheme="majorHAnsi" w:cstheme="majorHAnsi"/>
          <w:sz w:val="28"/>
          <w:szCs w:val="28"/>
        </w:rPr>
        <w:t xml:space="preserve"> </w:t>
      </w:r>
      <w:r w:rsidRPr="00ED2BC5">
        <w:rPr>
          <w:rFonts w:asciiTheme="majorHAnsi" w:eastAsia="Times New Roman" w:hAnsiTheme="majorHAnsi" w:cstheme="majorHAnsi"/>
          <w:sz w:val="28"/>
          <w:szCs w:val="28"/>
        </w:rPr>
        <w:t>≤30% of gross household income. The following table defines the income levels, lists affordable</w:t>
      </w:r>
      <w:r>
        <w:rPr>
          <w:rFonts w:asciiTheme="majorHAnsi" w:eastAsia="Times New Roman" w:hAnsiTheme="majorHAnsi" w:cstheme="majorHAnsi"/>
          <w:sz w:val="28"/>
          <w:szCs w:val="28"/>
        </w:rPr>
        <w:t xml:space="preserve"> </w:t>
      </w:r>
      <w:r w:rsidRPr="00ED2BC5">
        <w:rPr>
          <w:rFonts w:asciiTheme="majorHAnsi" w:eastAsia="Times New Roman" w:hAnsiTheme="majorHAnsi" w:cstheme="majorHAnsi"/>
          <w:sz w:val="28"/>
          <w:szCs w:val="28"/>
        </w:rPr>
        <w:t>monthly housing expenses for each income level, and maximum mortgage amount at each income</w:t>
      </w:r>
      <w:r>
        <w:rPr>
          <w:rFonts w:asciiTheme="majorHAnsi" w:eastAsia="Times New Roman" w:hAnsiTheme="majorHAnsi" w:cstheme="majorHAnsi"/>
          <w:sz w:val="28"/>
          <w:szCs w:val="28"/>
        </w:rPr>
        <w:t xml:space="preserve"> </w:t>
      </w:r>
      <w:r w:rsidRPr="00ED2BC5">
        <w:rPr>
          <w:rFonts w:asciiTheme="majorHAnsi" w:eastAsia="Times New Roman" w:hAnsiTheme="majorHAnsi" w:cstheme="majorHAnsi"/>
          <w:sz w:val="28"/>
          <w:szCs w:val="28"/>
        </w:rPr>
        <w:t>level based upon the 201</w:t>
      </w:r>
      <w:r w:rsidR="00377A49">
        <w:rPr>
          <w:rFonts w:asciiTheme="majorHAnsi" w:eastAsia="Times New Roman" w:hAnsiTheme="majorHAnsi" w:cstheme="majorHAnsi"/>
          <w:sz w:val="28"/>
          <w:szCs w:val="28"/>
        </w:rPr>
        <w:t>8</w:t>
      </w:r>
      <w:r w:rsidRPr="00ED2BC5">
        <w:rPr>
          <w:rFonts w:asciiTheme="majorHAnsi" w:eastAsia="Times New Roman" w:hAnsiTheme="majorHAnsi" w:cstheme="majorHAnsi"/>
          <w:sz w:val="28"/>
          <w:szCs w:val="28"/>
        </w:rPr>
        <w:t xml:space="preserve"> AMI. Maximum Mortgage Amount calculated on </w:t>
      </w:r>
      <w:r w:rsidR="003E47F4" w:rsidRPr="00ED2BC5">
        <w:rPr>
          <w:rFonts w:asciiTheme="majorHAnsi" w:eastAsia="Times New Roman" w:hAnsiTheme="majorHAnsi" w:cstheme="majorHAnsi"/>
          <w:sz w:val="28"/>
          <w:szCs w:val="28"/>
        </w:rPr>
        <w:t>30-year</w:t>
      </w:r>
      <w:r w:rsidRPr="00ED2BC5">
        <w:rPr>
          <w:rFonts w:asciiTheme="majorHAnsi" w:eastAsia="Times New Roman" w:hAnsiTheme="majorHAnsi" w:cstheme="majorHAnsi"/>
          <w:sz w:val="28"/>
          <w:szCs w:val="28"/>
        </w:rPr>
        <w:t xml:space="preserve"> loan, 4.25%</w:t>
      </w:r>
      <w:r w:rsidR="00377A49">
        <w:rPr>
          <w:rFonts w:asciiTheme="majorHAnsi" w:eastAsia="Times New Roman" w:hAnsiTheme="majorHAnsi" w:cstheme="majorHAnsi"/>
          <w:sz w:val="28"/>
          <w:szCs w:val="28"/>
        </w:rPr>
        <w:t xml:space="preserve"> </w:t>
      </w:r>
      <w:r w:rsidRPr="00ED2BC5">
        <w:rPr>
          <w:rFonts w:asciiTheme="majorHAnsi" w:eastAsia="Times New Roman" w:hAnsiTheme="majorHAnsi" w:cstheme="majorHAnsi"/>
          <w:sz w:val="28"/>
          <w:szCs w:val="28"/>
        </w:rPr>
        <w:t>interest rate</w:t>
      </w:r>
      <w:r w:rsidR="00377A49">
        <w:rPr>
          <w:rFonts w:asciiTheme="majorHAnsi" w:eastAsia="Times New Roman" w:hAnsiTheme="majorHAnsi" w:cstheme="majorHAnsi"/>
          <w:sz w:val="28"/>
          <w:szCs w:val="28"/>
        </w:rPr>
        <w:t xml:space="preserve">. </w:t>
      </w:r>
      <w:r w:rsidR="00B72138">
        <w:rPr>
          <w:rFonts w:asciiTheme="majorHAnsi" w:eastAsia="Times New Roman" w:hAnsiTheme="majorHAnsi" w:cstheme="majorHAnsi"/>
          <w:sz w:val="28"/>
          <w:szCs w:val="28"/>
        </w:rPr>
        <w:t xml:space="preserve">Some examples of those making 80% or less of the Area Median Income are law enforcement, </w:t>
      </w:r>
      <w:r w:rsidR="00C452EF">
        <w:rPr>
          <w:rFonts w:asciiTheme="majorHAnsi" w:eastAsia="Times New Roman" w:hAnsiTheme="majorHAnsi" w:cstheme="majorHAnsi"/>
          <w:sz w:val="28"/>
          <w:szCs w:val="28"/>
        </w:rPr>
        <w:t>teachers, and nurses.</w:t>
      </w:r>
    </w:p>
    <w:tbl>
      <w:tblPr>
        <w:tblW w:w="9720" w:type="dxa"/>
        <w:tblLook w:val="04A0" w:firstRow="1" w:lastRow="0" w:firstColumn="1" w:lastColumn="0" w:noHBand="0" w:noVBand="1"/>
      </w:tblPr>
      <w:tblGrid>
        <w:gridCol w:w="3520"/>
        <w:gridCol w:w="1520"/>
        <w:gridCol w:w="1520"/>
        <w:gridCol w:w="1520"/>
        <w:gridCol w:w="1640"/>
      </w:tblGrid>
      <w:tr w:rsidR="007D24D1" w:rsidRPr="007D24D1" w14:paraId="3971FB07" w14:textId="77777777" w:rsidTr="007D24D1">
        <w:trPr>
          <w:trHeight w:val="312"/>
        </w:trPr>
        <w:tc>
          <w:tcPr>
            <w:tcW w:w="9720" w:type="dxa"/>
            <w:gridSpan w:val="5"/>
            <w:tcBorders>
              <w:top w:val="nil"/>
              <w:left w:val="nil"/>
              <w:bottom w:val="single" w:sz="4" w:space="0" w:color="auto"/>
              <w:right w:val="nil"/>
            </w:tcBorders>
            <w:shd w:val="clear" w:color="auto" w:fill="auto"/>
            <w:noWrap/>
            <w:vAlign w:val="bottom"/>
            <w:hideMark/>
          </w:tcPr>
          <w:p w14:paraId="47378EE6" w14:textId="555BD95C" w:rsidR="007D24D1" w:rsidRPr="007D24D1" w:rsidRDefault="007D24D1" w:rsidP="007D24D1">
            <w:pPr>
              <w:spacing w:after="0" w:line="240" w:lineRule="auto"/>
              <w:rPr>
                <w:rFonts w:ascii="Arial" w:eastAsia="Times New Roman" w:hAnsi="Arial" w:cs="Arial"/>
                <w:b/>
                <w:bCs/>
                <w:color w:val="000000"/>
                <w:sz w:val="24"/>
                <w:szCs w:val="24"/>
              </w:rPr>
            </w:pPr>
            <w:r w:rsidRPr="007D24D1">
              <w:rPr>
                <w:rFonts w:ascii="Arial" w:eastAsia="Times New Roman" w:hAnsi="Arial" w:cs="Arial"/>
                <w:b/>
                <w:bCs/>
                <w:color w:val="000000"/>
                <w:sz w:val="24"/>
                <w:szCs w:val="24"/>
              </w:rPr>
              <w:t xml:space="preserve"> </w:t>
            </w:r>
          </w:p>
        </w:tc>
      </w:tr>
      <w:tr w:rsidR="007D24D1" w:rsidRPr="007D24D1" w14:paraId="006225CB" w14:textId="77777777" w:rsidTr="007D24D1">
        <w:trPr>
          <w:trHeight w:val="1200"/>
        </w:trPr>
        <w:tc>
          <w:tcPr>
            <w:tcW w:w="3520" w:type="dxa"/>
            <w:tcBorders>
              <w:top w:val="nil"/>
              <w:left w:val="single" w:sz="4" w:space="0" w:color="auto"/>
              <w:bottom w:val="single" w:sz="4" w:space="0" w:color="auto"/>
              <w:right w:val="single" w:sz="4" w:space="0" w:color="auto"/>
            </w:tcBorders>
            <w:shd w:val="clear" w:color="000000" w:fill="E7E6E6"/>
            <w:vAlign w:val="center"/>
            <w:hideMark/>
          </w:tcPr>
          <w:p w14:paraId="64B7FD7A" w14:textId="0CEF59FC" w:rsidR="007D24D1" w:rsidRPr="007D24D1" w:rsidRDefault="007D24D1" w:rsidP="007D24D1">
            <w:pPr>
              <w:spacing w:after="0" w:line="240" w:lineRule="auto"/>
              <w:jc w:val="center"/>
              <w:rPr>
                <w:rFonts w:ascii="Tahoma" w:eastAsia="Times New Roman" w:hAnsi="Tahoma" w:cs="Tahoma"/>
                <w:b/>
                <w:bCs/>
                <w:color w:val="000000"/>
                <w:sz w:val="24"/>
                <w:szCs w:val="24"/>
              </w:rPr>
            </w:pPr>
            <w:r w:rsidRPr="007D24D1">
              <w:rPr>
                <w:rFonts w:ascii="Arial" w:eastAsia="Times New Roman" w:hAnsi="Arial" w:cs="Arial"/>
                <w:b/>
                <w:bCs/>
                <w:color w:val="000000"/>
                <w:sz w:val="24"/>
                <w:szCs w:val="24"/>
              </w:rPr>
              <w:t>Monthly housing costs in Daniel town</w:t>
            </w:r>
          </w:p>
        </w:tc>
        <w:tc>
          <w:tcPr>
            <w:tcW w:w="1520" w:type="dxa"/>
            <w:tcBorders>
              <w:top w:val="nil"/>
              <w:left w:val="nil"/>
              <w:bottom w:val="single" w:sz="4" w:space="0" w:color="auto"/>
              <w:right w:val="single" w:sz="4" w:space="0" w:color="auto"/>
            </w:tcBorders>
            <w:shd w:val="clear" w:color="000000" w:fill="E7E6E6"/>
            <w:vAlign w:val="bottom"/>
            <w:hideMark/>
          </w:tcPr>
          <w:p w14:paraId="01842B88" w14:textId="77777777" w:rsidR="007D24D1" w:rsidRPr="007D24D1" w:rsidRDefault="007D24D1" w:rsidP="007D24D1">
            <w:pPr>
              <w:spacing w:after="0" w:line="240" w:lineRule="auto"/>
              <w:jc w:val="center"/>
              <w:rPr>
                <w:rFonts w:ascii="Tahoma" w:eastAsia="Times New Roman" w:hAnsi="Tahoma" w:cs="Tahoma"/>
                <w:color w:val="000000"/>
                <w:sz w:val="24"/>
                <w:szCs w:val="24"/>
              </w:rPr>
            </w:pPr>
            <w:r w:rsidRPr="007D24D1">
              <w:rPr>
                <w:rFonts w:ascii="Tahoma" w:eastAsia="Times New Roman" w:hAnsi="Tahoma" w:cs="Tahoma"/>
                <w:color w:val="000000"/>
                <w:sz w:val="24"/>
                <w:szCs w:val="24"/>
              </w:rPr>
              <w:t>2010 American</w:t>
            </w:r>
            <w:r w:rsidRPr="007D24D1">
              <w:rPr>
                <w:rFonts w:ascii="Tahoma" w:eastAsia="Times New Roman" w:hAnsi="Tahoma" w:cs="Tahoma"/>
                <w:color w:val="000000"/>
                <w:sz w:val="24"/>
                <w:szCs w:val="24"/>
              </w:rPr>
              <w:br/>
              <w:t>Community Survey</w:t>
            </w:r>
          </w:p>
        </w:tc>
        <w:tc>
          <w:tcPr>
            <w:tcW w:w="1520" w:type="dxa"/>
            <w:tcBorders>
              <w:top w:val="nil"/>
              <w:left w:val="nil"/>
              <w:bottom w:val="single" w:sz="4" w:space="0" w:color="auto"/>
              <w:right w:val="single" w:sz="4" w:space="0" w:color="auto"/>
            </w:tcBorders>
            <w:shd w:val="clear" w:color="000000" w:fill="E7E6E6"/>
            <w:vAlign w:val="bottom"/>
            <w:hideMark/>
          </w:tcPr>
          <w:p w14:paraId="4686BDB3" w14:textId="77777777" w:rsidR="007D24D1" w:rsidRPr="007D24D1" w:rsidRDefault="007D24D1" w:rsidP="007D24D1">
            <w:pPr>
              <w:spacing w:after="0" w:line="240" w:lineRule="auto"/>
              <w:jc w:val="center"/>
              <w:rPr>
                <w:rFonts w:ascii="Tahoma" w:eastAsia="Times New Roman" w:hAnsi="Tahoma" w:cs="Tahoma"/>
                <w:color w:val="000000"/>
                <w:sz w:val="24"/>
                <w:szCs w:val="24"/>
              </w:rPr>
            </w:pPr>
            <w:r w:rsidRPr="007D24D1">
              <w:rPr>
                <w:rFonts w:ascii="Tahoma" w:eastAsia="Times New Roman" w:hAnsi="Tahoma" w:cs="Tahoma"/>
                <w:color w:val="000000"/>
                <w:sz w:val="24"/>
                <w:szCs w:val="24"/>
              </w:rPr>
              <w:t>2016 American</w:t>
            </w:r>
            <w:r w:rsidRPr="007D24D1">
              <w:rPr>
                <w:rFonts w:ascii="Tahoma" w:eastAsia="Times New Roman" w:hAnsi="Tahoma" w:cs="Tahoma"/>
                <w:color w:val="000000"/>
                <w:sz w:val="24"/>
                <w:szCs w:val="24"/>
              </w:rPr>
              <w:br/>
              <w:t>Community Survey</w:t>
            </w:r>
          </w:p>
        </w:tc>
        <w:tc>
          <w:tcPr>
            <w:tcW w:w="1520" w:type="dxa"/>
            <w:tcBorders>
              <w:top w:val="nil"/>
              <w:left w:val="nil"/>
              <w:bottom w:val="single" w:sz="4" w:space="0" w:color="auto"/>
              <w:right w:val="single" w:sz="4" w:space="0" w:color="auto"/>
            </w:tcBorders>
            <w:shd w:val="clear" w:color="000000" w:fill="E7E6E6"/>
            <w:vAlign w:val="bottom"/>
            <w:hideMark/>
          </w:tcPr>
          <w:p w14:paraId="3A2845D5" w14:textId="3FAE7CD5" w:rsidR="007D24D1" w:rsidRPr="007D24D1" w:rsidRDefault="007D24D1" w:rsidP="007D24D1">
            <w:pPr>
              <w:spacing w:after="0" w:line="240" w:lineRule="auto"/>
              <w:jc w:val="center"/>
              <w:rPr>
                <w:rFonts w:ascii="Tahoma" w:eastAsia="Times New Roman" w:hAnsi="Tahoma" w:cs="Tahoma"/>
                <w:color w:val="000000"/>
                <w:sz w:val="24"/>
                <w:szCs w:val="24"/>
              </w:rPr>
            </w:pPr>
            <w:r w:rsidRPr="007D24D1">
              <w:rPr>
                <w:rFonts w:ascii="Tahoma" w:eastAsia="Times New Roman" w:hAnsi="Tahoma" w:cs="Tahoma"/>
                <w:color w:val="000000"/>
                <w:sz w:val="24"/>
                <w:szCs w:val="24"/>
              </w:rPr>
              <w:t>Annual</w:t>
            </w:r>
            <w:r w:rsidRPr="007D24D1">
              <w:rPr>
                <w:rFonts w:ascii="Tahoma" w:eastAsia="Times New Roman" w:hAnsi="Tahoma" w:cs="Tahoma"/>
                <w:color w:val="000000"/>
                <w:sz w:val="24"/>
                <w:szCs w:val="24"/>
              </w:rPr>
              <w:br/>
              <w:t xml:space="preserve">Growth </w:t>
            </w:r>
          </w:p>
        </w:tc>
        <w:tc>
          <w:tcPr>
            <w:tcW w:w="1640" w:type="dxa"/>
            <w:tcBorders>
              <w:top w:val="nil"/>
              <w:left w:val="nil"/>
              <w:bottom w:val="single" w:sz="4" w:space="0" w:color="auto"/>
              <w:right w:val="single" w:sz="4" w:space="0" w:color="auto"/>
            </w:tcBorders>
            <w:shd w:val="clear" w:color="000000" w:fill="E7E6E6"/>
            <w:vAlign w:val="bottom"/>
            <w:hideMark/>
          </w:tcPr>
          <w:p w14:paraId="360BDE76" w14:textId="77777777" w:rsidR="007D24D1" w:rsidRPr="007D24D1" w:rsidRDefault="007D24D1" w:rsidP="007D24D1">
            <w:pPr>
              <w:spacing w:after="0" w:line="240" w:lineRule="auto"/>
              <w:jc w:val="center"/>
              <w:rPr>
                <w:rFonts w:ascii="Tahoma" w:eastAsia="Times New Roman" w:hAnsi="Tahoma" w:cs="Tahoma"/>
                <w:color w:val="000000"/>
                <w:sz w:val="24"/>
                <w:szCs w:val="24"/>
              </w:rPr>
            </w:pPr>
            <w:r w:rsidRPr="007D24D1">
              <w:rPr>
                <w:rFonts w:ascii="Tahoma" w:eastAsia="Times New Roman" w:hAnsi="Tahoma" w:cs="Tahoma"/>
                <w:color w:val="000000"/>
                <w:sz w:val="24"/>
                <w:szCs w:val="24"/>
              </w:rPr>
              <w:t>2023</w:t>
            </w:r>
            <w:r w:rsidRPr="007D24D1">
              <w:rPr>
                <w:rFonts w:ascii="Tahoma" w:eastAsia="Times New Roman" w:hAnsi="Tahoma" w:cs="Tahoma"/>
                <w:color w:val="000000"/>
                <w:sz w:val="24"/>
                <w:szCs w:val="24"/>
              </w:rPr>
              <w:br/>
              <w:t>Projection</w:t>
            </w:r>
          </w:p>
        </w:tc>
      </w:tr>
      <w:tr w:rsidR="007D24D1" w:rsidRPr="007D24D1" w14:paraId="3DFC7C79" w14:textId="77777777" w:rsidTr="007D24D1">
        <w:trPr>
          <w:trHeight w:val="900"/>
        </w:trPr>
        <w:tc>
          <w:tcPr>
            <w:tcW w:w="3520" w:type="dxa"/>
            <w:tcBorders>
              <w:top w:val="nil"/>
              <w:left w:val="single" w:sz="4" w:space="0" w:color="auto"/>
              <w:bottom w:val="single" w:sz="4" w:space="0" w:color="auto"/>
              <w:right w:val="single" w:sz="4" w:space="0" w:color="auto"/>
            </w:tcBorders>
            <w:shd w:val="clear" w:color="000000" w:fill="E7E6E6"/>
            <w:vAlign w:val="bottom"/>
            <w:hideMark/>
          </w:tcPr>
          <w:p w14:paraId="505096D1" w14:textId="565AC3FB" w:rsidR="007D24D1" w:rsidRPr="007D24D1" w:rsidRDefault="007D24D1" w:rsidP="007D24D1">
            <w:pPr>
              <w:spacing w:after="0" w:line="240" w:lineRule="auto"/>
              <w:rPr>
                <w:rFonts w:ascii="Tahoma" w:eastAsia="Times New Roman" w:hAnsi="Tahoma" w:cs="Tahoma"/>
                <w:color w:val="000000"/>
                <w:sz w:val="24"/>
                <w:szCs w:val="24"/>
              </w:rPr>
            </w:pPr>
            <w:r w:rsidRPr="007D24D1">
              <w:rPr>
                <w:rFonts w:ascii="Tahoma" w:eastAsia="Times New Roman" w:hAnsi="Tahoma" w:cs="Tahoma"/>
                <w:color w:val="000000"/>
                <w:sz w:val="24"/>
                <w:szCs w:val="24"/>
              </w:rPr>
              <w:t>Total owner-occupied</w:t>
            </w:r>
            <w:r w:rsidRPr="007D24D1">
              <w:rPr>
                <w:rFonts w:ascii="Tahoma" w:eastAsia="Times New Roman" w:hAnsi="Tahoma" w:cs="Tahoma"/>
                <w:color w:val="000000"/>
                <w:sz w:val="24"/>
                <w:szCs w:val="24"/>
              </w:rPr>
              <w:br/>
              <w:t>housing unit costs</w:t>
            </w:r>
            <w:r w:rsidRPr="007D24D1">
              <w:rPr>
                <w:rFonts w:ascii="Tahoma" w:eastAsia="Times New Roman" w:hAnsi="Tahoma" w:cs="Tahoma"/>
                <w:color w:val="000000"/>
                <w:sz w:val="24"/>
                <w:szCs w:val="24"/>
              </w:rPr>
              <w:br/>
            </w:r>
          </w:p>
        </w:tc>
        <w:tc>
          <w:tcPr>
            <w:tcW w:w="1520" w:type="dxa"/>
            <w:tcBorders>
              <w:top w:val="nil"/>
              <w:left w:val="nil"/>
              <w:bottom w:val="single" w:sz="4" w:space="0" w:color="auto"/>
              <w:right w:val="single" w:sz="4" w:space="0" w:color="auto"/>
            </w:tcBorders>
            <w:shd w:val="clear" w:color="auto" w:fill="auto"/>
            <w:noWrap/>
            <w:vAlign w:val="bottom"/>
            <w:hideMark/>
          </w:tcPr>
          <w:p w14:paraId="3EB6A100"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$841</w:t>
            </w:r>
          </w:p>
        </w:tc>
        <w:tc>
          <w:tcPr>
            <w:tcW w:w="1520" w:type="dxa"/>
            <w:tcBorders>
              <w:top w:val="nil"/>
              <w:left w:val="nil"/>
              <w:bottom w:val="single" w:sz="4" w:space="0" w:color="auto"/>
              <w:right w:val="single" w:sz="4" w:space="0" w:color="auto"/>
            </w:tcBorders>
            <w:shd w:val="clear" w:color="auto" w:fill="auto"/>
            <w:noWrap/>
            <w:vAlign w:val="bottom"/>
            <w:hideMark/>
          </w:tcPr>
          <w:p w14:paraId="7F4B5364"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$1,138</w:t>
            </w:r>
          </w:p>
        </w:tc>
        <w:tc>
          <w:tcPr>
            <w:tcW w:w="1520" w:type="dxa"/>
            <w:tcBorders>
              <w:top w:val="nil"/>
              <w:left w:val="nil"/>
              <w:bottom w:val="single" w:sz="4" w:space="0" w:color="auto"/>
              <w:right w:val="single" w:sz="4" w:space="0" w:color="auto"/>
            </w:tcBorders>
            <w:shd w:val="clear" w:color="auto" w:fill="auto"/>
            <w:noWrap/>
            <w:vAlign w:val="bottom"/>
            <w:hideMark/>
          </w:tcPr>
          <w:p w14:paraId="07CB0DBB"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$37</w:t>
            </w:r>
          </w:p>
        </w:tc>
        <w:tc>
          <w:tcPr>
            <w:tcW w:w="1640" w:type="dxa"/>
            <w:tcBorders>
              <w:top w:val="nil"/>
              <w:left w:val="nil"/>
              <w:bottom w:val="single" w:sz="4" w:space="0" w:color="auto"/>
              <w:right w:val="single" w:sz="4" w:space="0" w:color="auto"/>
            </w:tcBorders>
            <w:shd w:val="clear" w:color="auto" w:fill="auto"/>
            <w:noWrap/>
            <w:vAlign w:val="bottom"/>
            <w:hideMark/>
          </w:tcPr>
          <w:p w14:paraId="13DA6FB7"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$1,329</w:t>
            </w:r>
          </w:p>
        </w:tc>
      </w:tr>
      <w:tr w:rsidR="007D24D1" w:rsidRPr="007D24D1" w14:paraId="5B75A5C9" w14:textId="77777777" w:rsidTr="007D24D1">
        <w:trPr>
          <w:trHeight w:val="600"/>
        </w:trPr>
        <w:tc>
          <w:tcPr>
            <w:tcW w:w="3520" w:type="dxa"/>
            <w:tcBorders>
              <w:top w:val="nil"/>
              <w:left w:val="single" w:sz="4" w:space="0" w:color="auto"/>
              <w:bottom w:val="single" w:sz="4" w:space="0" w:color="auto"/>
              <w:right w:val="single" w:sz="4" w:space="0" w:color="auto"/>
            </w:tcBorders>
            <w:shd w:val="clear" w:color="000000" w:fill="E7E6E6"/>
            <w:vAlign w:val="bottom"/>
            <w:hideMark/>
          </w:tcPr>
          <w:p w14:paraId="1A400241" w14:textId="6EF20946" w:rsidR="007D24D1" w:rsidRPr="007D24D1" w:rsidRDefault="007D24D1" w:rsidP="007D24D1">
            <w:pPr>
              <w:spacing w:after="0" w:line="240" w:lineRule="auto"/>
              <w:ind w:firstLineChars="200" w:firstLine="480"/>
              <w:rPr>
                <w:rFonts w:ascii="Tahoma" w:eastAsia="Times New Roman" w:hAnsi="Tahoma" w:cs="Tahoma"/>
                <w:color w:val="000000"/>
                <w:sz w:val="24"/>
                <w:szCs w:val="24"/>
              </w:rPr>
            </w:pPr>
            <w:r w:rsidRPr="007D24D1">
              <w:rPr>
                <w:rFonts w:ascii="Tahoma" w:eastAsia="Times New Roman" w:hAnsi="Tahoma" w:cs="Tahoma"/>
                <w:color w:val="000000"/>
                <w:sz w:val="24"/>
                <w:szCs w:val="24"/>
              </w:rPr>
              <w:t>Units with a mortgage</w:t>
            </w:r>
            <w:r w:rsidRPr="007D24D1">
              <w:rPr>
                <w:rFonts w:ascii="Tahoma" w:eastAsia="Times New Roman" w:hAnsi="Tahoma" w:cs="Tahoma"/>
                <w:color w:val="000000"/>
                <w:sz w:val="24"/>
                <w:szCs w:val="24"/>
              </w:rPr>
              <w:br/>
            </w:r>
          </w:p>
        </w:tc>
        <w:tc>
          <w:tcPr>
            <w:tcW w:w="1520" w:type="dxa"/>
            <w:tcBorders>
              <w:top w:val="nil"/>
              <w:left w:val="nil"/>
              <w:bottom w:val="single" w:sz="4" w:space="0" w:color="auto"/>
              <w:right w:val="single" w:sz="4" w:space="0" w:color="auto"/>
            </w:tcBorders>
            <w:shd w:val="clear" w:color="auto" w:fill="auto"/>
            <w:noWrap/>
            <w:vAlign w:val="bottom"/>
            <w:hideMark/>
          </w:tcPr>
          <w:p w14:paraId="24A3385A"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$1,619</w:t>
            </w:r>
          </w:p>
        </w:tc>
        <w:tc>
          <w:tcPr>
            <w:tcW w:w="1520" w:type="dxa"/>
            <w:tcBorders>
              <w:top w:val="nil"/>
              <w:left w:val="nil"/>
              <w:bottom w:val="single" w:sz="4" w:space="0" w:color="auto"/>
              <w:right w:val="single" w:sz="4" w:space="0" w:color="auto"/>
            </w:tcBorders>
            <w:shd w:val="clear" w:color="auto" w:fill="auto"/>
            <w:noWrap/>
            <w:vAlign w:val="bottom"/>
            <w:hideMark/>
          </w:tcPr>
          <w:p w14:paraId="24B5AC23"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$1,671</w:t>
            </w:r>
          </w:p>
        </w:tc>
        <w:tc>
          <w:tcPr>
            <w:tcW w:w="1520" w:type="dxa"/>
            <w:tcBorders>
              <w:top w:val="nil"/>
              <w:left w:val="nil"/>
              <w:bottom w:val="single" w:sz="4" w:space="0" w:color="auto"/>
              <w:right w:val="single" w:sz="4" w:space="0" w:color="auto"/>
            </w:tcBorders>
            <w:shd w:val="clear" w:color="auto" w:fill="auto"/>
            <w:noWrap/>
            <w:vAlign w:val="bottom"/>
            <w:hideMark/>
          </w:tcPr>
          <w:p w14:paraId="68999394"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$6</w:t>
            </w:r>
          </w:p>
        </w:tc>
        <w:tc>
          <w:tcPr>
            <w:tcW w:w="1640" w:type="dxa"/>
            <w:tcBorders>
              <w:top w:val="nil"/>
              <w:left w:val="nil"/>
              <w:bottom w:val="single" w:sz="4" w:space="0" w:color="auto"/>
              <w:right w:val="single" w:sz="4" w:space="0" w:color="auto"/>
            </w:tcBorders>
            <w:shd w:val="clear" w:color="auto" w:fill="auto"/>
            <w:noWrap/>
            <w:vAlign w:val="bottom"/>
            <w:hideMark/>
          </w:tcPr>
          <w:p w14:paraId="66BF7EF0"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$1,612</w:t>
            </w:r>
          </w:p>
        </w:tc>
      </w:tr>
      <w:tr w:rsidR="007D24D1" w:rsidRPr="007D24D1" w14:paraId="669F565B" w14:textId="77777777" w:rsidTr="007D24D1">
        <w:trPr>
          <w:trHeight w:val="600"/>
        </w:trPr>
        <w:tc>
          <w:tcPr>
            <w:tcW w:w="3520" w:type="dxa"/>
            <w:tcBorders>
              <w:top w:val="nil"/>
              <w:left w:val="single" w:sz="4" w:space="0" w:color="auto"/>
              <w:bottom w:val="single" w:sz="4" w:space="0" w:color="auto"/>
              <w:right w:val="single" w:sz="4" w:space="0" w:color="auto"/>
            </w:tcBorders>
            <w:shd w:val="clear" w:color="000000" w:fill="E7E6E6"/>
            <w:vAlign w:val="bottom"/>
            <w:hideMark/>
          </w:tcPr>
          <w:p w14:paraId="4B65FFBD" w14:textId="3D782A49" w:rsidR="007D24D1" w:rsidRPr="007D24D1" w:rsidRDefault="007D24D1" w:rsidP="007D24D1">
            <w:pPr>
              <w:spacing w:after="0" w:line="240" w:lineRule="auto"/>
              <w:ind w:firstLineChars="200" w:firstLine="480"/>
              <w:rPr>
                <w:rFonts w:ascii="Tahoma" w:eastAsia="Times New Roman" w:hAnsi="Tahoma" w:cs="Tahoma"/>
                <w:color w:val="000000"/>
                <w:sz w:val="24"/>
                <w:szCs w:val="24"/>
              </w:rPr>
            </w:pPr>
            <w:r w:rsidRPr="007D24D1">
              <w:rPr>
                <w:rFonts w:ascii="Tahoma" w:eastAsia="Times New Roman" w:hAnsi="Tahoma" w:cs="Tahoma"/>
                <w:color w:val="000000"/>
                <w:sz w:val="24"/>
                <w:szCs w:val="24"/>
              </w:rPr>
              <w:t>Units without a mortgage</w:t>
            </w:r>
          </w:p>
        </w:tc>
        <w:tc>
          <w:tcPr>
            <w:tcW w:w="1520" w:type="dxa"/>
            <w:tcBorders>
              <w:top w:val="nil"/>
              <w:left w:val="nil"/>
              <w:bottom w:val="single" w:sz="4" w:space="0" w:color="auto"/>
              <w:right w:val="single" w:sz="4" w:space="0" w:color="auto"/>
            </w:tcBorders>
            <w:shd w:val="clear" w:color="auto" w:fill="auto"/>
            <w:noWrap/>
            <w:vAlign w:val="bottom"/>
            <w:hideMark/>
          </w:tcPr>
          <w:p w14:paraId="2310C8D5"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$389</w:t>
            </w:r>
          </w:p>
        </w:tc>
        <w:tc>
          <w:tcPr>
            <w:tcW w:w="1520" w:type="dxa"/>
            <w:tcBorders>
              <w:top w:val="nil"/>
              <w:left w:val="nil"/>
              <w:bottom w:val="single" w:sz="4" w:space="0" w:color="auto"/>
              <w:right w:val="single" w:sz="4" w:space="0" w:color="auto"/>
            </w:tcBorders>
            <w:shd w:val="clear" w:color="auto" w:fill="auto"/>
            <w:noWrap/>
            <w:vAlign w:val="bottom"/>
            <w:hideMark/>
          </w:tcPr>
          <w:p w14:paraId="55F55EAE"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$359</w:t>
            </w:r>
          </w:p>
        </w:tc>
        <w:tc>
          <w:tcPr>
            <w:tcW w:w="1520" w:type="dxa"/>
            <w:tcBorders>
              <w:top w:val="nil"/>
              <w:left w:val="nil"/>
              <w:bottom w:val="single" w:sz="4" w:space="0" w:color="auto"/>
              <w:right w:val="single" w:sz="4" w:space="0" w:color="auto"/>
            </w:tcBorders>
            <w:shd w:val="clear" w:color="auto" w:fill="auto"/>
            <w:noWrap/>
            <w:vAlign w:val="bottom"/>
            <w:hideMark/>
          </w:tcPr>
          <w:p w14:paraId="413E281B"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-$4</w:t>
            </w:r>
          </w:p>
        </w:tc>
        <w:tc>
          <w:tcPr>
            <w:tcW w:w="1640" w:type="dxa"/>
            <w:tcBorders>
              <w:top w:val="nil"/>
              <w:left w:val="nil"/>
              <w:bottom w:val="single" w:sz="4" w:space="0" w:color="auto"/>
              <w:right w:val="single" w:sz="4" w:space="0" w:color="auto"/>
            </w:tcBorders>
            <w:shd w:val="clear" w:color="auto" w:fill="auto"/>
            <w:noWrap/>
            <w:vAlign w:val="bottom"/>
            <w:hideMark/>
          </w:tcPr>
          <w:p w14:paraId="0895670F"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$334</w:t>
            </w:r>
          </w:p>
        </w:tc>
      </w:tr>
      <w:tr w:rsidR="007D24D1" w:rsidRPr="007D24D1" w14:paraId="46A4F4CA" w14:textId="77777777" w:rsidTr="007D24D1">
        <w:trPr>
          <w:trHeight w:val="600"/>
        </w:trPr>
        <w:tc>
          <w:tcPr>
            <w:tcW w:w="3520" w:type="dxa"/>
            <w:tcBorders>
              <w:top w:val="nil"/>
              <w:left w:val="single" w:sz="4" w:space="0" w:color="auto"/>
              <w:bottom w:val="single" w:sz="4" w:space="0" w:color="auto"/>
              <w:right w:val="single" w:sz="4" w:space="0" w:color="auto"/>
            </w:tcBorders>
            <w:shd w:val="clear" w:color="000000" w:fill="E7E6E6"/>
            <w:vAlign w:val="bottom"/>
            <w:hideMark/>
          </w:tcPr>
          <w:p w14:paraId="09C0CBD6" w14:textId="45FB01A5" w:rsidR="007D24D1" w:rsidRPr="007D24D1" w:rsidRDefault="007D24D1" w:rsidP="007D24D1">
            <w:pPr>
              <w:spacing w:after="0" w:line="240" w:lineRule="auto"/>
              <w:rPr>
                <w:rFonts w:ascii="Tahoma" w:eastAsia="Times New Roman" w:hAnsi="Tahoma" w:cs="Tahoma"/>
                <w:color w:val="000000"/>
                <w:sz w:val="24"/>
                <w:szCs w:val="24"/>
              </w:rPr>
            </w:pPr>
            <w:r w:rsidRPr="007D24D1">
              <w:rPr>
                <w:rFonts w:ascii="Tahoma" w:eastAsia="Times New Roman" w:hAnsi="Tahoma" w:cs="Tahoma"/>
                <w:color w:val="000000"/>
                <w:sz w:val="24"/>
                <w:szCs w:val="24"/>
              </w:rPr>
              <w:t>Median gross rent</w:t>
            </w:r>
          </w:p>
        </w:tc>
        <w:tc>
          <w:tcPr>
            <w:tcW w:w="1520" w:type="dxa"/>
            <w:tcBorders>
              <w:top w:val="nil"/>
              <w:left w:val="nil"/>
              <w:bottom w:val="single" w:sz="4" w:space="0" w:color="auto"/>
              <w:right w:val="single" w:sz="4" w:space="0" w:color="auto"/>
            </w:tcBorders>
            <w:shd w:val="clear" w:color="auto" w:fill="auto"/>
            <w:noWrap/>
            <w:vAlign w:val="bottom"/>
            <w:hideMark/>
          </w:tcPr>
          <w:p w14:paraId="44587E00"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$862</w:t>
            </w:r>
          </w:p>
        </w:tc>
        <w:tc>
          <w:tcPr>
            <w:tcW w:w="1520" w:type="dxa"/>
            <w:tcBorders>
              <w:top w:val="nil"/>
              <w:left w:val="nil"/>
              <w:bottom w:val="single" w:sz="4" w:space="0" w:color="auto"/>
              <w:right w:val="single" w:sz="4" w:space="0" w:color="auto"/>
            </w:tcBorders>
            <w:shd w:val="clear" w:color="auto" w:fill="auto"/>
            <w:noWrap/>
            <w:vAlign w:val="bottom"/>
            <w:hideMark/>
          </w:tcPr>
          <w:p w14:paraId="11E694C1"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$950</w:t>
            </w:r>
          </w:p>
        </w:tc>
        <w:tc>
          <w:tcPr>
            <w:tcW w:w="1520" w:type="dxa"/>
            <w:tcBorders>
              <w:top w:val="nil"/>
              <w:left w:val="nil"/>
              <w:bottom w:val="single" w:sz="4" w:space="0" w:color="auto"/>
              <w:right w:val="single" w:sz="4" w:space="0" w:color="auto"/>
            </w:tcBorders>
            <w:shd w:val="clear" w:color="auto" w:fill="auto"/>
            <w:noWrap/>
            <w:vAlign w:val="bottom"/>
            <w:hideMark/>
          </w:tcPr>
          <w:p w14:paraId="55E55FEB"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$28</w:t>
            </w:r>
          </w:p>
        </w:tc>
        <w:tc>
          <w:tcPr>
            <w:tcW w:w="1640" w:type="dxa"/>
            <w:tcBorders>
              <w:top w:val="nil"/>
              <w:left w:val="nil"/>
              <w:bottom w:val="single" w:sz="4" w:space="0" w:color="auto"/>
              <w:right w:val="single" w:sz="4" w:space="0" w:color="auto"/>
            </w:tcBorders>
            <w:shd w:val="clear" w:color="auto" w:fill="auto"/>
            <w:noWrap/>
            <w:vAlign w:val="bottom"/>
            <w:hideMark/>
          </w:tcPr>
          <w:p w14:paraId="5B9D8FDD" w14:textId="77777777" w:rsidR="007D24D1" w:rsidRPr="007D24D1" w:rsidRDefault="007D24D1" w:rsidP="007D24D1">
            <w:pPr>
              <w:spacing w:after="0" w:line="240" w:lineRule="auto"/>
              <w:jc w:val="right"/>
              <w:rPr>
                <w:rFonts w:ascii="Tahoma" w:eastAsia="Times New Roman" w:hAnsi="Tahoma" w:cs="Tahoma"/>
                <w:color w:val="000000"/>
                <w:sz w:val="24"/>
                <w:szCs w:val="24"/>
              </w:rPr>
            </w:pPr>
            <w:r w:rsidRPr="007D24D1">
              <w:rPr>
                <w:rFonts w:ascii="Tahoma" w:eastAsia="Times New Roman" w:hAnsi="Tahoma" w:cs="Tahoma"/>
                <w:color w:val="000000"/>
                <w:sz w:val="24"/>
                <w:szCs w:val="24"/>
              </w:rPr>
              <w:t>$1,222</w:t>
            </w:r>
          </w:p>
        </w:tc>
      </w:tr>
    </w:tbl>
    <w:p w14:paraId="2C51EC37" w14:textId="269192A2" w:rsidR="007D24D1" w:rsidRPr="004F48C4" w:rsidRDefault="007D24D1" w:rsidP="00C21612">
      <w:pPr>
        <w:spacing w:after="320" w:line="240" w:lineRule="auto"/>
        <w:rPr>
          <w:rFonts w:asciiTheme="majorHAnsi" w:eastAsia="Times New Roman" w:hAnsiTheme="majorHAnsi" w:cstheme="majorHAnsi"/>
          <w:sz w:val="28"/>
          <w:szCs w:val="28"/>
        </w:rPr>
      </w:pPr>
    </w:p>
    <w:p w14:paraId="7E801DEA" w14:textId="58C87A8D" w:rsidR="00B44CAC" w:rsidRPr="00CB264C" w:rsidRDefault="00394C63">
      <w:pPr>
        <w:rPr>
          <w:rFonts w:asciiTheme="majorHAnsi" w:hAnsiTheme="majorHAnsi" w:cstheme="majorHAnsi"/>
          <w:b/>
          <w:sz w:val="28"/>
          <w:szCs w:val="28"/>
        </w:rPr>
      </w:pPr>
      <w:r w:rsidRPr="00CB264C">
        <w:rPr>
          <w:rFonts w:asciiTheme="majorHAnsi" w:hAnsiTheme="majorHAnsi" w:cstheme="majorHAnsi"/>
          <w:b/>
          <w:sz w:val="28"/>
          <w:szCs w:val="28"/>
        </w:rPr>
        <w:t>Housing Supply</w:t>
      </w:r>
    </w:p>
    <w:p w14:paraId="4B83A6E2" w14:textId="0A636FCF" w:rsidR="003E47F4" w:rsidRPr="00C452EF" w:rsidRDefault="00A44F57" w:rsidP="003C5A78">
      <w:pPr>
        <w:spacing w:after="0" w:line="240" w:lineRule="auto"/>
        <w:rPr>
          <w:rFonts w:eastAsia="Times New Roman" w:cstheme="minorHAnsi"/>
          <w:sz w:val="28"/>
          <w:szCs w:val="28"/>
        </w:rPr>
      </w:pPr>
      <w:r w:rsidRPr="00A44F57">
        <w:rPr>
          <w:rFonts w:eastAsia="Times New Roman" w:cstheme="minorHAnsi"/>
          <w:color w:val="000000"/>
          <w:sz w:val="28"/>
          <w:szCs w:val="28"/>
        </w:rPr>
        <w:t xml:space="preserve">According to the American Community Survey (2012-2016) </w:t>
      </w:r>
      <w:r w:rsidR="00F40E34">
        <w:rPr>
          <w:rFonts w:eastAsia="Times New Roman" w:cstheme="minorHAnsi"/>
          <w:color w:val="000000"/>
          <w:sz w:val="28"/>
          <w:szCs w:val="28"/>
        </w:rPr>
        <w:t>Daniel</w:t>
      </w:r>
      <w:r w:rsidRPr="00A44F57">
        <w:rPr>
          <w:rFonts w:eastAsia="Times New Roman" w:cstheme="minorHAnsi"/>
          <w:color w:val="000000"/>
          <w:sz w:val="28"/>
          <w:szCs w:val="28"/>
        </w:rPr>
        <w:t xml:space="preserve"> had</w:t>
      </w:r>
      <w:r w:rsidR="00E95541">
        <w:rPr>
          <w:rFonts w:eastAsia="Times New Roman" w:cstheme="minorHAnsi"/>
          <w:color w:val="000000"/>
          <w:sz w:val="28"/>
          <w:szCs w:val="28"/>
        </w:rPr>
        <w:t xml:space="preserve"> 358</w:t>
      </w:r>
      <w:r w:rsidRPr="00A44F57">
        <w:rPr>
          <w:rFonts w:eastAsia="Times New Roman" w:cstheme="minorHAnsi"/>
          <w:color w:val="000000"/>
          <w:sz w:val="28"/>
          <w:szCs w:val="28"/>
        </w:rPr>
        <w:t xml:space="preserve"> housing units at 96.5% occupancy rate. </w:t>
      </w:r>
      <w:r w:rsidR="00377A49">
        <w:rPr>
          <w:rFonts w:eastAsia="Times New Roman" w:cstheme="minorHAnsi"/>
          <w:color w:val="000000"/>
          <w:sz w:val="28"/>
          <w:szCs w:val="28"/>
        </w:rPr>
        <w:t xml:space="preserve">Single-family dwellings constituted </w:t>
      </w:r>
      <w:r w:rsidR="00E95541">
        <w:rPr>
          <w:rFonts w:eastAsia="Times New Roman" w:cstheme="minorHAnsi"/>
          <w:color w:val="000000"/>
          <w:sz w:val="28"/>
          <w:szCs w:val="28"/>
        </w:rPr>
        <w:t>the majority</w:t>
      </w:r>
      <w:r w:rsidRPr="00A44F57">
        <w:rPr>
          <w:rFonts w:eastAsia="Times New Roman" w:cstheme="minorHAnsi"/>
          <w:color w:val="000000"/>
          <w:sz w:val="28"/>
          <w:szCs w:val="28"/>
        </w:rPr>
        <w:t xml:space="preserve"> of the housing stock</w:t>
      </w:r>
      <w:r w:rsidR="00E95541">
        <w:rPr>
          <w:rFonts w:eastAsia="Times New Roman" w:cstheme="minorHAnsi"/>
          <w:color w:val="000000"/>
          <w:sz w:val="28"/>
          <w:szCs w:val="28"/>
        </w:rPr>
        <w:t>. The Town</w:t>
      </w:r>
      <w:r w:rsidR="00377A49">
        <w:rPr>
          <w:rFonts w:eastAsia="Times New Roman" w:cstheme="minorHAnsi"/>
          <w:color w:val="000000"/>
          <w:sz w:val="28"/>
          <w:szCs w:val="28"/>
        </w:rPr>
        <w:t xml:space="preserve"> is relatively distant from major employment centers and institutions of higher learning</w:t>
      </w:r>
      <w:r w:rsidR="00266D04">
        <w:rPr>
          <w:rFonts w:eastAsia="Times New Roman" w:cstheme="minorHAnsi"/>
          <w:color w:val="000000"/>
          <w:sz w:val="28"/>
          <w:szCs w:val="28"/>
        </w:rPr>
        <w:t xml:space="preserve"> and transit routes</w:t>
      </w:r>
      <w:r w:rsidR="00377A49">
        <w:rPr>
          <w:rFonts w:eastAsia="Times New Roman" w:cstheme="minorHAnsi"/>
          <w:color w:val="000000"/>
          <w:sz w:val="28"/>
          <w:szCs w:val="28"/>
        </w:rPr>
        <w:t xml:space="preserve"> when compared to other cities</w:t>
      </w:r>
      <w:r w:rsidR="00266D04">
        <w:rPr>
          <w:rFonts w:eastAsia="Times New Roman" w:cstheme="minorHAnsi"/>
          <w:color w:val="000000"/>
          <w:sz w:val="28"/>
          <w:szCs w:val="28"/>
        </w:rPr>
        <w:t>, dampening the demand for higher-density housing.</w:t>
      </w:r>
    </w:p>
    <w:p w14:paraId="01A63FCC" w14:textId="77777777" w:rsidR="003C4167" w:rsidRDefault="003C4167" w:rsidP="003C5A78">
      <w:pPr>
        <w:pStyle w:val="NormalWeb"/>
        <w:spacing w:before="0" w:beforeAutospacing="0" w:after="0" w:afterAutospacing="0"/>
        <w:rPr>
          <w:rFonts w:asciiTheme="minorHAnsi" w:hAnsiTheme="minorHAnsi" w:cstheme="majorHAnsi"/>
          <w:sz w:val="28"/>
          <w:szCs w:val="28"/>
        </w:rPr>
      </w:pPr>
    </w:p>
    <w:p w14:paraId="6CCB0F31" w14:textId="77777777" w:rsidR="003C4167" w:rsidRDefault="003C4167" w:rsidP="003C5A78">
      <w:pPr>
        <w:pStyle w:val="NormalWeb"/>
        <w:spacing w:before="0" w:beforeAutospacing="0" w:after="0" w:afterAutospacing="0"/>
        <w:rPr>
          <w:rFonts w:asciiTheme="minorHAnsi" w:hAnsiTheme="minorHAnsi" w:cstheme="majorHAnsi"/>
          <w:sz w:val="28"/>
          <w:szCs w:val="28"/>
        </w:rPr>
      </w:pPr>
    </w:p>
    <w:p w14:paraId="7B818870" w14:textId="77777777" w:rsidR="003C4167" w:rsidRDefault="003C4167" w:rsidP="003C5A78">
      <w:pPr>
        <w:pStyle w:val="NormalWeb"/>
        <w:spacing w:before="0" w:beforeAutospacing="0" w:after="0" w:afterAutospacing="0"/>
        <w:rPr>
          <w:rFonts w:asciiTheme="minorHAnsi" w:hAnsiTheme="minorHAnsi" w:cstheme="majorHAnsi"/>
          <w:sz w:val="28"/>
          <w:szCs w:val="28"/>
        </w:rPr>
      </w:pPr>
    </w:p>
    <w:p w14:paraId="704B6956" w14:textId="77777777" w:rsidR="003C4167" w:rsidRDefault="003C4167" w:rsidP="003C5A78">
      <w:pPr>
        <w:pStyle w:val="NormalWeb"/>
        <w:spacing w:before="0" w:beforeAutospacing="0" w:after="0" w:afterAutospacing="0"/>
        <w:rPr>
          <w:rFonts w:asciiTheme="minorHAnsi" w:hAnsiTheme="minorHAnsi" w:cstheme="majorHAnsi"/>
          <w:sz w:val="28"/>
          <w:szCs w:val="28"/>
        </w:rPr>
      </w:pPr>
    </w:p>
    <w:p w14:paraId="38DB34AE" w14:textId="42EDDECA" w:rsidR="003C5A78" w:rsidRDefault="004C1D6B" w:rsidP="003C5A78">
      <w:pPr>
        <w:pStyle w:val="NormalWeb"/>
        <w:spacing w:before="0" w:beforeAutospacing="0" w:after="0" w:afterAutospacing="0"/>
        <w:rPr>
          <w:rFonts w:asciiTheme="minorHAnsi" w:hAnsiTheme="minorHAnsi" w:cstheme="majorHAnsi"/>
          <w:sz w:val="28"/>
          <w:szCs w:val="28"/>
        </w:rPr>
      </w:pPr>
      <w:r>
        <w:rPr>
          <w:rFonts w:asciiTheme="minorHAnsi" w:hAnsiTheme="minorHAnsi"/>
          <w:noProof/>
          <w:sz w:val="28"/>
          <w:szCs w:val="28"/>
        </w:rPr>
        <w:lastRenderedPageBreak/>
        <w:drawing>
          <wp:anchor distT="0" distB="0" distL="114300" distR="114300" simplePos="0" relativeHeight="251669504" behindDoc="0" locked="0" layoutInCell="1" allowOverlap="1" wp14:anchorId="27CE266E" wp14:editId="475A0D34">
            <wp:simplePos x="0" y="0"/>
            <wp:positionH relativeFrom="column">
              <wp:posOffset>3589020</wp:posOffset>
            </wp:positionH>
            <wp:positionV relativeFrom="paragraph">
              <wp:posOffset>2327910</wp:posOffset>
            </wp:positionV>
            <wp:extent cx="2536190" cy="227584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49350"/>
                    <a:stretch/>
                  </pic:blipFill>
                  <pic:spPr bwMode="auto">
                    <a:xfrm>
                      <a:off x="0" y="0"/>
                      <a:ext cx="2536190" cy="2275840"/>
                    </a:xfrm>
                    <a:prstGeom prst="rect">
                      <a:avLst/>
                    </a:prstGeom>
                    <a:noFill/>
                    <a:ln>
                      <a:noFill/>
                    </a:ln>
                    <a:extLst>
                      <a:ext uri="{53640926-AAD7-44D8-BBD7-CCE9431645EC}">
                        <a14:shadowObscured xmlns:a14="http://schemas.microsoft.com/office/drawing/2010/main"/>
                      </a:ext>
                    </a:extLst>
                  </pic:spPr>
                </pic:pic>
              </a:graphicData>
            </a:graphic>
          </wp:anchor>
        </w:drawing>
      </w:r>
      <w:r w:rsidR="003C4167">
        <w:rPr>
          <w:rFonts w:asciiTheme="minorHAnsi" w:hAnsiTheme="minorHAnsi" w:cstheme="majorHAnsi"/>
          <w:noProof/>
          <w:sz w:val="28"/>
          <w:szCs w:val="28"/>
        </w:rPr>
        <w:drawing>
          <wp:anchor distT="0" distB="0" distL="114300" distR="114300" simplePos="0" relativeHeight="251668480" behindDoc="0" locked="0" layoutInCell="1" allowOverlap="1" wp14:anchorId="4A37EF7D" wp14:editId="4D37A46F">
            <wp:simplePos x="0" y="0"/>
            <wp:positionH relativeFrom="column">
              <wp:posOffset>3535680</wp:posOffset>
            </wp:positionH>
            <wp:positionV relativeFrom="paragraph">
              <wp:posOffset>0</wp:posOffset>
            </wp:positionV>
            <wp:extent cx="2539365" cy="21945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51124"/>
                    <a:stretch/>
                  </pic:blipFill>
                  <pic:spPr bwMode="auto">
                    <a:xfrm>
                      <a:off x="0" y="0"/>
                      <a:ext cx="2539365" cy="2194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149A">
        <w:rPr>
          <w:rFonts w:asciiTheme="minorHAnsi" w:hAnsiTheme="minorHAnsi" w:cstheme="majorHAnsi"/>
          <w:sz w:val="28"/>
          <w:szCs w:val="28"/>
        </w:rPr>
        <w:t>The 2018 Gap Analysis for Daniel Town shows that the town already has more affordable housing units</w:t>
      </w:r>
      <w:r w:rsidR="003C4167">
        <w:rPr>
          <w:rFonts w:asciiTheme="minorHAnsi" w:hAnsiTheme="minorHAnsi" w:cstheme="majorHAnsi"/>
          <w:sz w:val="28"/>
          <w:szCs w:val="28"/>
        </w:rPr>
        <w:t xml:space="preserve"> than the total number of </w:t>
      </w:r>
      <w:r w:rsidR="00F40E34">
        <w:rPr>
          <w:rFonts w:asciiTheme="minorHAnsi" w:hAnsiTheme="minorHAnsi" w:cstheme="majorHAnsi"/>
          <w:sz w:val="28"/>
          <w:szCs w:val="28"/>
        </w:rPr>
        <w:t>moderate-income</w:t>
      </w:r>
      <w:r w:rsidR="003C4167">
        <w:rPr>
          <w:rFonts w:asciiTheme="minorHAnsi" w:hAnsiTheme="minorHAnsi" w:cstheme="majorHAnsi"/>
          <w:sz w:val="28"/>
          <w:szCs w:val="28"/>
        </w:rPr>
        <w:t xml:space="preserve"> households.  However, many of those units are currently occupied by those that do not qualify as </w:t>
      </w:r>
      <w:r w:rsidR="00F40E34">
        <w:rPr>
          <w:rFonts w:asciiTheme="minorHAnsi" w:hAnsiTheme="minorHAnsi" w:cstheme="majorHAnsi"/>
          <w:sz w:val="28"/>
          <w:szCs w:val="28"/>
        </w:rPr>
        <w:t>moderate-income</w:t>
      </w:r>
      <w:r w:rsidR="003C4167">
        <w:rPr>
          <w:rFonts w:asciiTheme="minorHAnsi" w:hAnsiTheme="minorHAnsi" w:cstheme="majorHAnsi"/>
          <w:sz w:val="28"/>
          <w:szCs w:val="28"/>
        </w:rPr>
        <w:t xml:space="preserve"> households. </w:t>
      </w:r>
      <w:r>
        <w:rPr>
          <w:rFonts w:asciiTheme="minorHAnsi" w:hAnsiTheme="minorHAnsi" w:cstheme="majorHAnsi"/>
          <w:sz w:val="28"/>
          <w:szCs w:val="28"/>
        </w:rPr>
        <w:t xml:space="preserve">Therefor the towns current need for additional affordable housing units for those making 0-80% AMI is currently 11.  </w:t>
      </w:r>
    </w:p>
    <w:p w14:paraId="6B1BAAED" w14:textId="600C4DC9" w:rsidR="004C1D6B" w:rsidRDefault="004C1D6B" w:rsidP="003C5A78">
      <w:pPr>
        <w:pStyle w:val="NormalWeb"/>
        <w:spacing w:before="0" w:beforeAutospacing="0" w:after="0" w:afterAutospacing="0"/>
        <w:rPr>
          <w:rFonts w:asciiTheme="minorHAnsi" w:hAnsiTheme="minorHAnsi"/>
          <w:sz w:val="28"/>
          <w:szCs w:val="28"/>
        </w:rPr>
      </w:pPr>
    </w:p>
    <w:p w14:paraId="07492F3A" w14:textId="649DD1E0" w:rsidR="004C1D6B" w:rsidRPr="003C5A78" w:rsidRDefault="004C1D6B" w:rsidP="003C5A78">
      <w:pPr>
        <w:pStyle w:val="NormalWeb"/>
        <w:spacing w:before="0" w:beforeAutospacing="0" w:after="0" w:afterAutospacing="0"/>
        <w:rPr>
          <w:rFonts w:asciiTheme="minorHAnsi" w:hAnsiTheme="minorHAnsi"/>
          <w:sz w:val="28"/>
          <w:szCs w:val="28"/>
        </w:rPr>
      </w:pPr>
    </w:p>
    <w:p w14:paraId="3C2E84C3" w14:textId="2CB9CBC6" w:rsidR="00D967D7" w:rsidRPr="00CB264C" w:rsidRDefault="00266D04" w:rsidP="00B62F11">
      <w:pPr>
        <w:rPr>
          <w:rFonts w:asciiTheme="majorHAnsi" w:hAnsiTheme="majorHAnsi" w:cstheme="majorHAnsi"/>
          <w:b/>
          <w:sz w:val="28"/>
          <w:szCs w:val="28"/>
        </w:rPr>
      </w:pPr>
      <w:r w:rsidRPr="00266D04">
        <w:rPr>
          <w:rFonts w:eastAsia="Times New Roman" w:cstheme="minorHAnsi"/>
          <w:noProof/>
          <w:sz w:val="28"/>
          <w:szCs w:val="28"/>
        </w:rPr>
        <mc:AlternateContent>
          <mc:Choice Requires="wps">
            <w:drawing>
              <wp:anchor distT="45720" distB="45720" distL="114300" distR="114300" simplePos="0" relativeHeight="251665408" behindDoc="0" locked="0" layoutInCell="1" allowOverlap="1" wp14:anchorId="70F44844" wp14:editId="52D2258D">
                <wp:simplePos x="0" y="0"/>
                <wp:positionH relativeFrom="column">
                  <wp:posOffset>4892040</wp:posOffset>
                </wp:positionH>
                <wp:positionV relativeFrom="paragraph">
                  <wp:posOffset>78740</wp:posOffset>
                </wp:positionV>
                <wp:extent cx="1244600" cy="1125855"/>
                <wp:effectExtent l="0" t="0" r="1270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1125855"/>
                        </a:xfrm>
                        <a:prstGeom prst="rect">
                          <a:avLst/>
                        </a:prstGeom>
                        <a:solidFill>
                          <a:srgbClr val="FFFFFF"/>
                        </a:solidFill>
                        <a:ln w="9525">
                          <a:solidFill>
                            <a:srgbClr val="000000"/>
                          </a:solidFill>
                          <a:miter lim="800000"/>
                          <a:headEnd/>
                          <a:tailEnd/>
                        </a:ln>
                      </wps:spPr>
                      <wps:txbx>
                        <w:txbxContent>
                          <w:p w14:paraId="7D6EF742" w14:textId="0D7DB8B4" w:rsidR="00266D04" w:rsidRDefault="00266D04" w:rsidP="00266D04">
                            <w:r>
                              <w:t>additional moderate-income dwellings by 2023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F44844" id="_x0000_t202" coordsize="21600,21600" o:spt="202" path="m,l,21600r21600,l21600,xe">
                <v:stroke joinstyle="miter"/>
                <v:path gradientshapeok="t" o:connecttype="rect"/>
              </v:shapetype>
              <v:shape id="Text Box 2" o:spid="_x0000_s1026" type="#_x0000_t202" style="position:absolute;margin-left:385.2pt;margin-top:6.2pt;width:98pt;height:8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CzIwIAAEcEAAAOAAAAZHJzL2Uyb0RvYy54bWysU9tu2zAMfR+wfxD0vviCuEuNOEWXLsOA&#10;rhvQ7gNkWY6FyaImKbGzrx8lu1l2exnmB0E0qcPDQ3J9M/aKHIV1EnRFs0VKidAcGqn3Ff38tHu1&#10;osR5phumQIuKnoSjN5uXL9aDKUUOHahGWIIg2pWDqWjnvSmTxPFO9MwtwAiNzhZszzyadp80lg2I&#10;3qskT9OrZADbGAtcOId/7yYn3UT8thXcf2xbJzxRFUVuPp42nnU4k82alXvLTCf5TIP9A4ueSY1J&#10;z1B3zDNysPI3qF5yCw5av+DQJ9C2kotYA1aTpb9U89gxI2ItKI4zZ5nc/4PlD8dPlsimojklmvXY&#10;oicxevIGRpIHdQbjSgx6NBjmR/yNXY6VOnMP/IsjGrYd03txay0MnWANssvCy+Ti6YTjAkg9fIAG&#10;07CDhwg0trYP0qEYBNGxS6dzZwIVHlLmy+VVii6OvizLi1VRxBysfH5urPPvBPQkXCpqsfURnh3v&#10;nQ90WPkcErI5ULLZSaWiYff1VllyZDgmu/jN6D+FKU2Gil4XeTEp8FeINH5/guilx3lXsq/o6hzE&#10;yqDbW93EafRMqumOlJWehQzaTSr6sR7nxtTQnFBSC9Nc4x7ipQP7jZIBZ7qi7uuBWUGJeq+xLdfZ&#10;chmWIBrL4nWOhr301JcepjlCVZR7S8lkbH1cnSCZhltsYCujtKHTE5eZLU5rVHzerLAOl3aM+rH/&#10;m+8AAAD//wMAUEsDBBQABgAIAAAAIQDT7/rY3AAAAAoBAAAPAAAAZHJzL2Rvd25yZXYueG1sTI/L&#10;TsMwEEX3SPyDNUjsqE2FkjbEqaIilkWiINauPU3Sxg/Zbhr+nmEFq3ncqztn6s1sRzZhTIN3Eh4X&#10;Ahg67c3gOgmfH68PK2ApK2fU6B1K+MYEm+b2plaV8Vf3jtM+d4xCXKqUhD7nUHGedI9WpYUP6Eg7&#10;+mhVpjF23ER1pXA78qUQBbdqcHShVwG3Perz/mIl7NrdVrzFybbh63gaVdD6JSQp7+/m9hlYxjn/&#10;meEXn9ChIaaDvziT2CihLMUTWUlYUiXDuiioOdBitS6BNzX//0LzAwAA//8DAFBLAQItABQABgAI&#10;AAAAIQC2gziS/gAAAOEBAAATAAAAAAAAAAAAAAAAAAAAAABbQ29udGVudF9UeXBlc10ueG1sUEsB&#10;Ai0AFAAGAAgAAAAhADj9If/WAAAAlAEAAAsAAAAAAAAAAAAAAAAALwEAAF9yZWxzLy5yZWxzUEsB&#10;Ai0AFAAGAAgAAAAhAJVGoLMjAgAARwQAAA4AAAAAAAAAAAAAAAAALgIAAGRycy9lMm9Eb2MueG1s&#10;UEsBAi0AFAAGAAgAAAAhANPv+tjcAAAACgEAAA8AAAAAAAAAAAAAAAAAfQQAAGRycy9kb3ducmV2&#10;LnhtbFBLBQYAAAAABAAEAPMAAACGBQAAAAA=&#10;">
                <v:textbox>
                  <w:txbxContent>
                    <w:p w14:paraId="7D6EF742" w14:textId="0D7DB8B4" w:rsidR="00266D04" w:rsidRDefault="00266D04" w:rsidP="00266D04">
                      <w:r>
                        <w:t>additional moderate-income dwellings by 2023</w:t>
                      </w:r>
                    </w:p>
                  </w:txbxContent>
                </v:textbox>
                <w10:wrap type="square"/>
              </v:shape>
            </w:pict>
          </mc:Fallback>
        </mc:AlternateContent>
      </w:r>
      <w:r w:rsidR="00B62F11" w:rsidRPr="00CB264C">
        <w:rPr>
          <w:rFonts w:asciiTheme="majorHAnsi" w:hAnsiTheme="majorHAnsi" w:cstheme="majorHAnsi"/>
          <w:b/>
          <w:sz w:val="28"/>
          <w:szCs w:val="28"/>
        </w:rPr>
        <w:t>5 Year Moderate Income Housing Need</w:t>
      </w:r>
    </w:p>
    <w:p w14:paraId="1C73A66D" w14:textId="71F6DD30" w:rsidR="00394C63" w:rsidRPr="00FF2AC2" w:rsidRDefault="004C1D6B" w:rsidP="00FF2AC2">
      <w:pPr>
        <w:spacing w:after="320" w:line="240" w:lineRule="auto"/>
        <w:rPr>
          <w:rFonts w:eastAsia="Times New Roman" w:cstheme="minorHAnsi"/>
          <w:sz w:val="24"/>
          <w:szCs w:val="24"/>
        </w:rPr>
      </w:pPr>
      <w:r w:rsidRPr="00266D04">
        <w:rPr>
          <w:rFonts w:asciiTheme="majorHAnsi" w:hAnsiTheme="majorHAnsi" w:cstheme="majorHAnsi"/>
          <w:b/>
          <w:noProof/>
          <w:sz w:val="28"/>
          <w:szCs w:val="28"/>
        </w:rPr>
        <mc:AlternateContent>
          <mc:Choice Requires="wps">
            <w:drawing>
              <wp:anchor distT="45720" distB="45720" distL="114300" distR="114300" simplePos="0" relativeHeight="251667456" behindDoc="0" locked="0" layoutInCell="1" allowOverlap="1" wp14:anchorId="348A506C" wp14:editId="66B60BC7">
                <wp:simplePos x="0" y="0"/>
                <wp:positionH relativeFrom="column">
                  <wp:posOffset>2148840</wp:posOffset>
                </wp:positionH>
                <wp:positionV relativeFrom="paragraph">
                  <wp:posOffset>93345</wp:posOffset>
                </wp:positionV>
                <wp:extent cx="1226820" cy="1125220"/>
                <wp:effectExtent l="0" t="0" r="11430" b="177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125220"/>
                        </a:xfrm>
                        <a:prstGeom prst="rect">
                          <a:avLst/>
                        </a:prstGeom>
                        <a:solidFill>
                          <a:srgbClr val="FFFFFF"/>
                        </a:solidFill>
                        <a:ln w="9525">
                          <a:solidFill>
                            <a:srgbClr val="000000"/>
                          </a:solidFill>
                          <a:miter lim="800000"/>
                          <a:headEnd/>
                          <a:tailEnd/>
                        </a:ln>
                      </wps:spPr>
                      <wps:txbx>
                        <w:txbxContent>
                          <w:p w14:paraId="228BB807" w14:textId="010365BC" w:rsidR="00266D04" w:rsidRPr="00266D04" w:rsidRDefault="004C1D6B" w:rsidP="00266D04">
                            <w:pPr>
                              <w:jc w:val="center"/>
                              <w:rPr>
                                <w:sz w:val="144"/>
                                <w:szCs w:val="144"/>
                              </w:rPr>
                            </w:pPr>
                            <w:r>
                              <w:rPr>
                                <w:sz w:val="144"/>
                                <w:szCs w:val="144"/>
                              </w:rPr>
                              <w:t>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A506C" id="_x0000_s1027" type="#_x0000_t202" style="position:absolute;margin-left:169.2pt;margin-top:7.35pt;width:96.6pt;height:88.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2W3JAIAAE8EAAAOAAAAZHJzL2Uyb0RvYy54bWysVNtu2zAMfR+wfxD0vjg2ki414hRdugwD&#10;ugvQ7gMYWY6FSaInKbGzrx8lp2l2exnmB0EUqUPyHMrLm8FodpDOK7QVzydTzqQVWCu7q/iXx82r&#10;BWc+gK1Bo5UVP0rPb1YvXyz7rpQFtqhr6RiBWF/2XcXbELoyy7xopQE/wU5acjboDAQy3S6rHfSE&#10;bnRWTKdXWY+u7hwK6T2d3o1Ovkr4TSNF+NQ0XgamK061hbS6tG7jmq2WUO4cdK0SpzLgH6owoCwl&#10;PUPdQQC2d+o3KKOEQ49NmAg0GTaNEjL1QN3k01+6eWihk6kXIsd3Z5r8/4MVHw+fHVM1aUdKWTCk&#10;0aMcAnuDAysiPX3nS4p66CguDHRMoalV392j+OqZxXULdidvncO+lVBTeXm8mV1cHXF8BNn2H7Cm&#10;NLAPmICGxpnIHbHBCJ1kOp6liaWImLIorhYFuQT58ryYF2TEHFA+Xe+cD+8kGhY3FXekfYKHw70P&#10;Y+hTSMzmUat6o7ROhttt19qxA9CcbNJ3Qv8pTFvWV/x6XsxHBv4KMU3fnyCMCjTwWpmKL85BUEbe&#10;3tqayoQygNLjnrrT9kRk5G5kMQzbYZQsJogkb7E+ErMOx/mm90ibFt13znqa7Yr7b3twkjP93pI6&#10;1/lsFh9DMmbz15FXd+nZXnrACoKquAiOs9FYh/SEYrEWb0nHRiWGn2s5FU1TmzQ6vbD4LC7tFPX8&#10;H1j9AAAA//8DAFBLAwQUAAYACAAAACEAG6KFP94AAAAKAQAADwAAAGRycy9kb3ducmV2LnhtbEyP&#10;wU7DMAyG70i8Q2QkbiwtHWPrmk7VEMchMdDOWZK1hcSJmqwrb485saP9f/r9udpMzrLRDLH3KCCf&#10;ZcAMKq97bAV8frw+LIHFJFFL69EI+DERNvXtTSVL7S/4bsZ9ahmVYCylgC6lUHIeVWecjDMfDFJ2&#10;8oOTicah5XqQFyp3lj9m2YI72SNd6GQw286o7/3ZCdg1u232NoyuCYfTl5VBqZcQhbi/m5o1sGSm&#10;9A/Dnz6pQ01OR39GHZkVUBTLOaEUzJ+BEfBU5AtgR1qs8hXwuuLXL9S/AAAA//8DAFBLAQItABQA&#10;BgAIAAAAIQC2gziS/gAAAOEBAAATAAAAAAAAAAAAAAAAAAAAAABbQ29udGVudF9UeXBlc10ueG1s&#10;UEsBAi0AFAAGAAgAAAAhADj9If/WAAAAlAEAAAsAAAAAAAAAAAAAAAAALwEAAF9yZWxzLy5yZWxz&#10;UEsBAi0AFAAGAAgAAAAhADWjZbckAgAATwQAAA4AAAAAAAAAAAAAAAAALgIAAGRycy9lMm9Eb2Mu&#10;eG1sUEsBAi0AFAAGAAgAAAAhABuihT/eAAAACgEAAA8AAAAAAAAAAAAAAAAAfgQAAGRycy9kb3du&#10;cmV2LnhtbFBLBQYAAAAABAAEAPMAAACJBQAAAAA=&#10;">
                <v:textbox>
                  <w:txbxContent>
                    <w:p w14:paraId="228BB807" w14:textId="010365BC" w:rsidR="00266D04" w:rsidRPr="00266D04" w:rsidRDefault="004C1D6B" w:rsidP="00266D04">
                      <w:pPr>
                        <w:jc w:val="center"/>
                        <w:rPr>
                          <w:sz w:val="144"/>
                          <w:szCs w:val="144"/>
                        </w:rPr>
                      </w:pPr>
                      <w:r>
                        <w:rPr>
                          <w:sz w:val="144"/>
                          <w:szCs w:val="144"/>
                        </w:rPr>
                        <w:t>11</w:t>
                      </w:r>
                    </w:p>
                  </w:txbxContent>
                </v:textbox>
                <w10:wrap type="square"/>
              </v:shape>
            </w:pict>
          </mc:Fallback>
        </mc:AlternateContent>
      </w:r>
      <w:r>
        <w:rPr>
          <w:rFonts w:eastAsia="Times New Roman" w:cstheme="minorHAnsi"/>
          <w:sz w:val="28"/>
          <w:szCs w:val="28"/>
        </w:rPr>
        <w:t>According to the 2016 American Community Survey Daniel</w:t>
      </w:r>
      <w:r w:rsidR="00B03623">
        <w:rPr>
          <w:rFonts w:eastAsia="Times New Roman" w:cstheme="minorHAnsi"/>
          <w:sz w:val="28"/>
          <w:szCs w:val="28"/>
        </w:rPr>
        <w:t xml:space="preserve"> </w:t>
      </w:r>
      <w:r>
        <w:rPr>
          <w:rFonts w:eastAsia="Times New Roman" w:cstheme="minorHAnsi"/>
          <w:sz w:val="28"/>
          <w:szCs w:val="28"/>
        </w:rPr>
        <w:t>population decreased by 23 people since the 2010 Census. With a relatively stable population over the past 6 years, it is reasonable expect that the demand for new affordable housing units by 2023 will remain 11.</w:t>
      </w:r>
      <w:r w:rsidR="00D967D7" w:rsidRPr="00CB264C">
        <w:rPr>
          <w:rFonts w:eastAsia="Times New Roman" w:cstheme="minorHAnsi"/>
          <w:sz w:val="28"/>
          <w:szCs w:val="28"/>
        </w:rPr>
        <w:t xml:space="preserve"> </w:t>
      </w:r>
    </w:p>
    <w:p w14:paraId="067D741D" w14:textId="3A88CF6A" w:rsidR="00D967D7" w:rsidRPr="00FF2AC2" w:rsidRDefault="00D967D7" w:rsidP="00B62F11">
      <w:pPr>
        <w:rPr>
          <w:rFonts w:asciiTheme="majorHAnsi" w:hAnsiTheme="majorHAnsi" w:cstheme="majorHAnsi"/>
          <w:sz w:val="20"/>
          <w:szCs w:val="20"/>
        </w:rPr>
      </w:pPr>
    </w:p>
    <w:p w14:paraId="04A60EFD" w14:textId="5B5A8D86" w:rsidR="00B3516A" w:rsidRDefault="00B3516A" w:rsidP="00B62F11">
      <w:pPr>
        <w:rPr>
          <w:rFonts w:asciiTheme="majorHAnsi" w:hAnsiTheme="majorHAnsi" w:cstheme="majorHAnsi"/>
          <w:b/>
          <w:sz w:val="28"/>
          <w:szCs w:val="28"/>
        </w:rPr>
      </w:pPr>
      <w:r w:rsidRPr="00CB264C">
        <w:rPr>
          <w:rFonts w:asciiTheme="majorHAnsi" w:hAnsiTheme="majorHAnsi" w:cstheme="majorHAnsi"/>
          <w:b/>
          <w:sz w:val="28"/>
          <w:szCs w:val="28"/>
        </w:rPr>
        <w:t>Survey of Residential Zoning</w:t>
      </w:r>
      <w:r w:rsidR="0034133D" w:rsidRPr="00CB264C">
        <w:rPr>
          <w:rFonts w:asciiTheme="majorHAnsi" w:hAnsiTheme="majorHAnsi" w:cstheme="majorHAnsi"/>
          <w:b/>
          <w:sz w:val="28"/>
          <w:szCs w:val="28"/>
        </w:rPr>
        <w:t xml:space="preserve"> &amp; Impact on Housing Opportunities</w:t>
      </w:r>
    </w:p>
    <w:p w14:paraId="6C3EAE1E" w14:textId="14983F2C" w:rsidR="002D7EEE" w:rsidRDefault="002D7EEE" w:rsidP="002D7EEE">
      <w:pPr>
        <w:pStyle w:val="Default"/>
        <w:rPr>
          <w:rFonts w:ascii="CG Times" w:hAnsi="CG Times"/>
          <w:color w:val="000000"/>
          <w:sz w:val="24"/>
        </w:rPr>
      </w:pPr>
      <w:r>
        <w:rPr>
          <w:rFonts w:ascii="CG Times" w:hAnsi="CG Times"/>
          <w:color w:val="000000"/>
          <w:sz w:val="24"/>
        </w:rPr>
        <w:t>The Town of Daniel</w:t>
      </w:r>
      <w:r w:rsidRPr="004357E7">
        <w:rPr>
          <w:rFonts w:ascii="CG Times" w:hAnsi="CG Times"/>
          <w:color w:val="000000"/>
          <w:sz w:val="24"/>
        </w:rPr>
        <w:t xml:space="preserve"> has </w:t>
      </w:r>
      <w:r w:rsidR="00B03623">
        <w:rPr>
          <w:rFonts w:ascii="CG Times" w:hAnsi="CG Times"/>
          <w:color w:val="000000"/>
          <w:sz w:val="24"/>
        </w:rPr>
        <w:t>three</w:t>
      </w:r>
      <w:r w:rsidRPr="004357E7">
        <w:rPr>
          <w:rFonts w:ascii="CG Times" w:hAnsi="CG Times"/>
          <w:color w:val="000000"/>
          <w:sz w:val="24"/>
        </w:rPr>
        <w:t xml:space="preserve"> zoning districts that are des</w:t>
      </w:r>
      <w:r>
        <w:rPr>
          <w:rFonts w:ascii="CG Times" w:hAnsi="CG Times"/>
          <w:color w:val="000000"/>
          <w:sz w:val="24"/>
        </w:rPr>
        <w:t>ignated for residential living:</w:t>
      </w:r>
    </w:p>
    <w:p w14:paraId="3BAAA897" w14:textId="77777777" w:rsidR="002D7EEE" w:rsidRDefault="002D7EEE" w:rsidP="002D7EEE">
      <w:pPr>
        <w:pStyle w:val="Default"/>
        <w:rPr>
          <w:rFonts w:ascii="CG Times" w:hAnsi="CG Times"/>
          <w:color w:val="000000"/>
          <w:sz w:val="24"/>
        </w:rPr>
      </w:pPr>
    </w:p>
    <w:p w14:paraId="1D126DB8" w14:textId="726B8C0C" w:rsidR="002D7EEE" w:rsidRDefault="002D7EEE" w:rsidP="002D7EEE">
      <w:pPr>
        <w:pStyle w:val="Default"/>
        <w:numPr>
          <w:ilvl w:val="0"/>
          <w:numId w:val="5"/>
        </w:numPr>
        <w:rPr>
          <w:rFonts w:ascii="CG Times" w:hAnsi="CG Times"/>
          <w:color w:val="000000"/>
          <w:sz w:val="24"/>
        </w:rPr>
      </w:pPr>
      <w:r w:rsidRPr="004357E7">
        <w:rPr>
          <w:rFonts w:ascii="CG Times" w:hAnsi="CG Times"/>
          <w:color w:val="000000"/>
          <w:sz w:val="24"/>
        </w:rPr>
        <w:t xml:space="preserve">The </w:t>
      </w:r>
      <w:r w:rsidR="00B03623">
        <w:rPr>
          <w:rFonts w:ascii="CG Times" w:hAnsi="CG Times"/>
          <w:color w:val="000000"/>
          <w:sz w:val="24"/>
        </w:rPr>
        <w:t>P-160</w:t>
      </w:r>
      <w:r w:rsidRPr="004357E7">
        <w:rPr>
          <w:rFonts w:ascii="CG Times" w:hAnsi="CG Times"/>
          <w:color w:val="000000"/>
          <w:sz w:val="24"/>
        </w:rPr>
        <w:t xml:space="preserve"> Zone was created as a district for the outlying areas of the City to mai</w:t>
      </w:r>
      <w:r>
        <w:rPr>
          <w:rFonts w:ascii="CG Times" w:hAnsi="CG Times"/>
          <w:color w:val="000000"/>
          <w:sz w:val="24"/>
        </w:rPr>
        <w:t xml:space="preserve">ntain continuity with </w:t>
      </w:r>
      <w:r w:rsidR="00805B4C">
        <w:rPr>
          <w:rFonts w:ascii="CG Times" w:hAnsi="CG Times"/>
          <w:color w:val="000000"/>
          <w:sz w:val="24"/>
        </w:rPr>
        <w:t>existing P</w:t>
      </w:r>
      <w:r w:rsidR="00B03623">
        <w:rPr>
          <w:rFonts w:ascii="CG Times" w:hAnsi="CG Times"/>
          <w:color w:val="000000"/>
          <w:sz w:val="24"/>
        </w:rPr>
        <w:t xml:space="preserve">-160 </w:t>
      </w:r>
      <w:r w:rsidRPr="004357E7">
        <w:rPr>
          <w:rFonts w:ascii="CG Times" w:hAnsi="CG Times"/>
          <w:color w:val="000000"/>
          <w:sz w:val="24"/>
        </w:rPr>
        <w:t xml:space="preserve">County zoning and regulations and to protect the valuable agricultural land and maintain the historic nature of the community. </w:t>
      </w:r>
    </w:p>
    <w:p w14:paraId="6707DC8C" w14:textId="0DE5A7AD" w:rsidR="002D7EEE" w:rsidRDefault="002D7EEE" w:rsidP="002D7EEE">
      <w:pPr>
        <w:pStyle w:val="Default"/>
        <w:numPr>
          <w:ilvl w:val="0"/>
          <w:numId w:val="5"/>
        </w:numPr>
        <w:rPr>
          <w:rFonts w:ascii="CG Times" w:hAnsi="CG Times"/>
          <w:color w:val="000000"/>
          <w:sz w:val="24"/>
        </w:rPr>
      </w:pPr>
      <w:r w:rsidRPr="004357E7">
        <w:rPr>
          <w:rFonts w:ascii="CG Times" w:hAnsi="CG Times"/>
          <w:color w:val="000000"/>
          <w:sz w:val="24"/>
        </w:rPr>
        <w:t xml:space="preserve">The </w:t>
      </w:r>
      <w:r w:rsidR="00B03623">
        <w:rPr>
          <w:rFonts w:ascii="CG Times" w:hAnsi="CG Times"/>
          <w:color w:val="000000"/>
          <w:sz w:val="24"/>
        </w:rPr>
        <w:t>R-</w:t>
      </w:r>
      <w:r w:rsidRPr="004357E7">
        <w:rPr>
          <w:rFonts w:ascii="CG Times" w:hAnsi="CG Times"/>
          <w:color w:val="000000"/>
          <w:sz w:val="24"/>
        </w:rPr>
        <w:t>A-5 Zone protects agricultural land uses withi</w:t>
      </w:r>
      <w:r w:rsidR="00B03623">
        <w:rPr>
          <w:rFonts w:ascii="CG Times" w:hAnsi="CG Times"/>
          <w:color w:val="000000"/>
          <w:sz w:val="24"/>
        </w:rPr>
        <w:t xml:space="preserve">n Daniel </w:t>
      </w:r>
      <w:r w:rsidRPr="004357E7">
        <w:rPr>
          <w:rFonts w:ascii="CG Times" w:hAnsi="CG Times"/>
          <w:color w:val="000000"/>
          <w:sz w:val="24"/>
        </w:rPr>
        <w:t xml:space="preserve">City by controlling density. The </w:t>
      </w:r>
      <w:r w:rsidR="00B03623">
        <w:rPr>
          <w:rFonts w:ascii="CG Times" w:hAnsi="CG Times"/>
          <w:color w:val="000000"/>
          <w:sz w:val="24"/>
        </w:rPr>
        <w:t>R-</w:t>
      </w:r>
      <w:r w:rsidRPr="004357E7">
        <w:rPr>
          <w:rFonts w:ascii="CG Times" w:hAnsi="CG Times"/>
          <w:color w:val="000000"/>
          <w:sz w:val="24"/>
        </w:rPr>
        <w:t xml:space="preserve">A-5 Zone also provides an open space buffer between commercial and residential areas to mitigate potential impacts between residential and other land uses. </w:t>
      </w:r>
    </w:p>
    <w:p w14:paraId="33A4C33F" w14:textId="686918A6" w:rsidR="002D7EEE" w:rsidRDefault="002D7EEE" w:rsidP="002D7EEE">
      <w:pPr>
        <w:pStyle w:val="Default"/>
        <w:numPr>
          <w:ilvl w:val="0"/>
          <w:numId w:val="5"/>
        </w:numPr>
        <w:rPr>
          <w:rFonts w:ascii="CG Times" w:hAnsi="CG Times"/>
          <w:color w:val="000000"/>
          <w:sz w:val="24"/>
        </w:rPr>
      </w:pPr>
      <w:r w:rsidRPr="004357E7">
        <w:rPr>
          <w:rFonts w:ascii="CG Times" w:hAnsi="CG Times"/>
          <w:color w:val="000000"/>
          <w:sz w:val="24"/>
        </w:rPr>
        <w:t xml:space="preserve">The </w:t>
      </w:r>
      <w:r w:rsidR="00B03623">
        <w:rPr>
          <w:rFonts w:ascii="CG Times" w:hAnsi="CG Times"/>
          <w:color w:val="000000"/>
          <w:sz w:val="24"/>
        </w:rPr>
        <w:t>R-</w:t>
      </w:r>
      <w:r w:rsidRPr="004357E7">
        <w:rPr>
          <w:rFonts w:ascii="CG Times" w:hAnsi="CG Times"/>
          <w:color w:val="000000"/>
          <w:sz w:val="24"/>
        </w:rPr>
        <w:t>A-1</w:t>
      </w:r>
      <w:r w:rsidR="00B03623">
        <w:rPr>
          <w:rFonts w:ascii="CG Times" w:hAnsi="CG Times"/>
          <w:color w:val="000000"/>
          <w:sz w:val="24"/>
        </w:rPr>
        <w:t xml:space="preserve"> single family dwelling</w:t>
      </w:r>
      <w:r w:rsidRPr="004357E7">
        <w:rPr>
          <w:rFonts w:ascii="CG Times" w:hAnsi="CG Times"/>
          <w:color w:val="000000"/>
          <w:sz w:val="24"/>
        </w:rPr>
        <w:t xml:space="preserve"> </w:t>
      </w:r>
      <w:r w:rsidR="00B03623">
        <w:rPr>
          <w:rFonts w:ascii="CG Times" w:hAnsi="CG Times"/>
          <w:color w:val="000000"/>
          <w:sz w:val="24"/>
        </w:rPr>
        <w:t>z</w:t>
      </w:r>
      <w:r w:rsidRPr="004357E7">
        <w:rPr>
          <w:rFonts w:ascii="CG Times" w:hAnsi="CG Times"/>
          <w:color w:val="000000"/>
          <w:sz w:val="24"/>
        </w:rPr>
        <w:t xml:space="preserve">one provides an open space buffer between residential zones. </w:t>
      </w:r>
    </w:p>
    <w:p w14:paraId="52E3204D" w14:textId="234AF5CE" w:rsidR="002D7EEE" w:rsidRDefault="002D7EEE" w:rsidP="002D7EEE">
      <w:pPr>
        <w:pStyle w:val="Default"/>
        <w:numPr>
          <w:ilvl w:val="0"/>
          <w:numId w:val="5"/>
        </w:numPr>
        <w:rPr>
          <w:rFonts w:ascii="CG Times" w:hAnsi="CG Times"/>
          <w:color w:val="000000"/>
          <w:sz w:val="24"/>
        </w:rPr>
      </w:pPr>
      <w:r w:rsidRPr="004357E7">
        <w:rPr>
          <w:rFonts w:ascii="CG Times" w:hAnsi="CG Times"/>
          <w:color w:val="000000"/>
          <w:sz w:val="24"/>
        </w:rPr>
        <w:t xml:space="preserve">The R-A or Rural Residential </w:t>
      </w:r>
      <w:r w:rsidR="00B03623">
        <w:rPr>
          <w:rFonts w:ascii="CG Times" w:hAnsi="CG Times"/>
          <w:color w:val="000000"/>
          <w:sz w:val="24"/>
        </w:rPr>
        <w:t>z</w:t>
      </w:r>
      <w:r w:rsidRPr="004357E7">
        <w:rPr>
          <w:rFonts w:ascii="CG Times" w:hAnsi="CG Times"/>
          <w:color w:val="000000"/>
          <w:sz w:val="24"/>
        </w:rPr>
        <w:t>one was created for</w:t>
      </w:r>
      <w:r w:rsidR="00B03623">
        <w:rPr>
          <w:rFonts w:ascii="CG Times" w:hAnsi="CG Times"/>
          <w:color w:val="000000"/>
          <w:sz w:val="24"/>
        </w:rPr>
        <w:t xml:space="preserve"> </w:t>
      </w:r>
      <w:r w:rsidR="00293D59">
        <w:rPr>
          <w:rFonts w:ascii="CG Times" w:hAnsi="CG Times"/>
          <w:color w:val="000000"/>
          <w:sz w:val="24"/>
        </w:rPr>
        <w:t>1</w:t>
      </w:r>
      <w:r w:rsidR="00293D59" w:rsidRPr="004357E7">
        <w:rPr>
          <w:rFonts w:ascii="CG Times" w:hAnsi="CG Times"/>
          <w:color w:val="000000"/>
          <w:sz w:val="24"/>
        </w:rPr>
        <w:t>-acre</w:t>
      </w:r>
      <w:r w:rsidRPr="004357E7">
        <w:rPr>
          <w:rFonts w:ascii="CG Times" w:hAnsi="CG Times"/>
          <w:color w:val="000000"/>
          <w:sz w:val="24"/>
        </w:rPr>
        <w:t xml:space="preserve"> zoning. It is intended as a permanent residential district for those areas of the community where it is desirable to maintain </w:t>
      </w:r>
      <w:r w:rsidR="00B03623">
        <w:rPr>
          <w:rFonts w:ascii="CG Times" w:hAnsi="CG Times"/>
          <w:color w:val="000000"/>
          <w:sz w:val="24"/>
        </w:rPr>
        <w:t>higher</w:t>
      </w:r>
      <w:r w:rsidRPr="004357E7">
        <w:rPr>
          <w:rFonts w:ascii="CG Times" w:hAnsi="CG Times"/>
          <w:color w:val="000000"/>
          <w:sz w:val="24"/>
        </w:rPr>
        <w:t xml:space="preserve"> residential densities. </w:t>
      </w:r>
    </w:p>
    <w:p w14:paraId="3BF43B13" w14:textId="29CF4780" w:rsidR="002D7EEE" w:rsidRDefault="002D7EEE" w:rsidP="002D7EEE">
      <w:pPr>
        <w:rPr>
          <w:rFonts w:ascii="CG Times" w:hAnsi="CG Times"/>
          <w:color w:val="000000"/>
          <w:sz w:val="24"/>
        </w:rPr>
      </w:pPr>
    </w:p>
    <w:p w14:paraId="5E00AF9E" w14:textId="77777777" w:rsidR="002D7EEE" w:rsidRDefault="002D7EEE" w:rsidP="002D7EEE">
      <w:pPr>
        <w:rPr>
          <w:rFonts w:ascii="CG Times" w:hAnsi="CG Times"/>
          <w:color w:val="000000"/>
          <w:sz w:val="24"/>
        </w:rPr>
      </w:pPr>
    </w:p>
    <w:p w14:paraId="73098B28" w14:textId="0A58F449" w:rsidR="002D7EEE" w:rsidRDefault="002D7EEE" w:rsidP="002D7EEE">
      <w:pPr>
        <w:pStyle w:val="Default"/>
        <w:rPr>
          <w:rFonts w:ascii="CG Times" w:hAnsi="CG Times"/>
          <w:color w:val="000000"/>
          <w:sz w:val="24"/>
        </w:rPr>
      </w:pPr>
      <w:r>
        <w:rPr>
          <w:rFonts w:ascii="CG Times" w:hAnsi="CG Times"/>
          <w:color w:val="000000"/>
          <w:sz w:val="24"/>
        </w:rPr>
        <w:t xml:space="preserve">Daniel’s Planning Commission and City Council hold one of the most important keys to providing housing opportunities for persons of moderate income.  The key the city holds is zoning.  However, many other factors contribute to the affordability of housing that cannot be controlled by the City.  Land prices, construction material, interest rates and other financing costs can significantly influence housing costs. By working cooperatively with State and County Agencies, Daniel can assure affordable housing to its citizenry.  </w:t>
      </w:r>
    </w:p>
    <w:p w14:paraId="502C79D6" w14:textId="77777777" w:rsidR="002D7EEE" w:rsidRDefault="002D7EEE" w:rsidP="002D7EEE">
      <w:pPr>
        <w:pStyle w:val="Default"/>
        <w:rPr>
          <w:rFonts w:ascii="CG Times" w:hAnsi="CG Times"/>
          <w:color w:val="000000"/>
          <w:sz w:val="24"/>
        </w:rPr>
      </w:pPr>
    </w:p>
    <w:p w14:paraId="554AEDC5" w14:textId="11A03EB5" w:rsidR="002D7EEE" w:rsidRDefault="002D7EEE" w:rsidP="002D7EEE">
      <w:pPr>
        <w:pStyle w:val="Default"/>
        <w:rPr>
          <w:rFonts w:ascii="CG Times" w:hAnsi="CG Times"/>
          <w:color w:val="000000"/>
          <w:sz w:val="24"/>
        </w:rPr>
      </w:pPr>
      <w:r>
        <w:rPr>
          <w:rFonts w:ascii="CG Times" w:hAnsi="CG Times"/>
          <w:color w:val="000000"/>
          <w:sz w:val="24"/>
        </w:rPr>
        <w:t>Low income households</w:t>
      </w:r>
      <w:r>
        <w:rPr>
          <w:rFonts w:ascii="CG Times" w:hAnsi="CG Times"/>
          <w:sz w:val="24"/>
        </w:rPr>
        <w:t xml:space="preserve"> making 50% of the median income, which will typically be renters, may be affected by zoning, but may also be impacted by market conditions beyond the control of the City. H</w:t>
      </w:r>
      <w:r>
        <w:rPr>
          <w:rFonts w:ascii="CG Times" w:hAnsi="CG Times"/>
          <w:color w:val="000000"/>
          <w:sz w:val="24"/>
        </w:rPr>
        <w:t xml:space="preserve">ouseholds making 30% of the MSAMI will more than likely need government rental assistance in addition to any zoning assistance from the City. </w:t>
      </w:r>
    </w:p>
    <w:p w14:paraId="49FA0CA5" w14:textId="77777777" w:rsidR="002D7EEE" w:rsidRDefault="002D7EEE" w:rsidP="00B3516A">
      <w:pPr>
        <w:spacing w:after="320" w:line="240" w:lineRule="auto"/>
        <w:rPr>
          <w:rFonts w:asciiTheme="majorHAnsi" w:eastAsia="Times New Roman" w:hAnsiTheme="majorHAnsi" w:cstheme="majorHAnsi"/>
          <w:b/>
          <w:sz w:val="28"/>
          <w:szCs w:val="28"/>
        </w:rPr>
      </w:pPr>
    </w:p>
    <w:p w14:paraId="134047A1" w14:textId="18C40271" w:rsidR="00B3516A" w:rsidRPr="00CB264C" w:rsidRDefault="00E37489" w:rsidP="00B3516A">
      <w:pPr>
        <w:spacing w:after="320" w:line="240" w:lineRule="auto"/>
        <w:rPr>
          <w:rFonts w:asciiTheme="majorHAnsi" w:eastAsia="Times New Roman" w:hAnsiTheme="majorHAnsi" w:cstheme="majorHAnsi"/>
          <w:b/>
          <w:sz w:val="28"/>
          <w:szCs w:val="28"/>
        </w:rPr>
      </w:pPr>
      <w:r w:rsidRPr="00CB264C">
        <w:rPr>
          <w:rFonts w:asciiTheme="majorHAnsi" w:eastAsia="Times New Roman" w:hAnsiTheme="majorHAnsi" w:cstheme="majorHAnsi"/>
          <w:b/>
          <w:sz w:val="28"/>
          <w:szCs w:val="28"/>
        </w:rPr>
        <w:t>Program to Encourage Moderate Income Housing</w:t>
      </w:r>
    </w:p>
    <w:p w14:paraId="77EAC213" w14:textId="34477284" w:rsidR="002D7EEE" w:rsidRPr="00CC0DB8" w:rsidRDefault="002D7EEE" w:rsidP="002D7EEE">
      <w:pPr>
        <w:pStyle w:val="Default"/>
        <w:rPr>
          <w:rFonts w:ascii="Times New Roman" w:hAnsi="Times New Roman"/>
          <w:bCs/>
          <w:color w:val="000000"/>
          <w:sz w:val="24"/>
        </w:rPr>
      </w:pPr>
      <w:r>
        <w:rPr>
          <w:rFonts w:ascii="Times New Roman" w:hAnsi="Times New Roman"/>
          <w:bCs/>
          <w:color w:val="000000"/>
          <w:sz w:val="24"/>
        </w:rPr>
        <w:t xml:space="preserve">Daniel has taken the following steps to ensure housing is available to a wide variety of households. </w:t>
      </w:r>
    </w:p>
    <w:p w14:paraId="04245B47" w14:textId="77777777" w:rsidR="002D7EEE" w:rsidRDefault="002D7EEE" w:rsidP="002D7EEE">
      <w:pPr>
        <w:pStyle w:val="Default"/>
        <w:rPr>
          <w:rFonts w:ascii="CG Times" w:hAnsi="CG Times"/>
          <w:color w:val="000000"/>
          <w:sz w:val="24"/>
        </w:rPr>
      </w:pPr>
    </w:p>
    <w:p w14:paraId="01CE5663" w14:textId="3400F64A" w:rsidR="002D7EEE" w:rsidRDefault="002D7EEE" w:rsidP="002D7EEE">
      <w:pPr>
        <w:pStyle w:val="ListParagraph"/>
        <w:numPr>
          <w:ilvl w:val="0"/>
          <w:numId w:val="6"/>
        </w:numPr>
        <w:spacing w:after="0" w:line="240" w:lineRule="auto"/>
        <w:rPr>
          <w:rFonts w:ascii="CG Times" w:hAnsi="CG Times"/>
          <w:color w:val="000000"/>
        </w:rPr>
      </w:pPr>
      <w:r>
        <w:rPr>
          <w:rFonts w:ascii="CG Times" w:hAnsi="CG Times"/>
          <w:color w:val="000000"/>
        </w:rPr>
        <w:t xml:space="preserve">Reasonable Lot Sizes based </w:t>
      </w:r>
    </w:p>
    <w:p w14:paraId="63D4D227" w14:textId="77777777" w:rsidR="002D7EEE" w:rsidRDefault="002D7EEE" w:rsidP="002D7EEE">
      <w:pPr>
        <w:pStyle w:val="ListParagraph"/>
        <w:numPr>
          <w:ilvl w:val="0"/>
          <w:numId w:val="6"/>
        </w:numPr>
        <w:spacing w:after="0" w:line="240" w:lineRule="auto"/>
        <w:rPr>
          <w:rFonts w:ascii="CG Times" w:hAnsi="CG Times"/>
          <w:color w:val="000000"/>
        </w:rPr>
      </w:pPr>
      <w:r>
        <w:rPr>
          <w:rFonts w:ascii="CG Times" w:hAnsi="CG Times"/>
          <w:color w:val="000000"/>
        </w:rPr>
        <w:t>Reasonable Development Fees and Costs</w:t>
      </w:r>
    </w:p>
    <w:p w14:paraId="768F193A" w14:textId="53804382" w:rsidR="002D7EEE" w:rsidRDefault="00B03623" w:rsidP="002D7EEE">
      <w:pPr>
        <w:pStyle w:val="ListParagraph"/>
        <w:numPr>
          <w:ilvl w:val="0"/>
          <w:numId w:val="6"/>
        </w:numPr>
        <w:spacing w:after="0" w:line="240" w:lineRule="auto"/>
        <w:rPr>
          <w:rFonts w:ascii="CG Times" w:hAnsi="CG Times"/>
          <w:color w:val="000000"/>
        </w:rPr>
      </w:pPr>
      <w:r>
        <w:rPr>
          <w:rFonts w:ascii="CG Times" w:hAnsi="CG Times"/>
          <w:color w:val="000000"/>
        </w:rPr>
        <w:t xml:space="preserve">Dedicated lands to </w:t>
      </w:r>
      <w:r w:rsidR="00805B4C">
        <w:rPr>
          <w:rFonts w:ascii="CG Times" w:hAnsi="CG Times"/>
          <w:color w:val="000000"/>
        </w:rPr>
        <w:t>count for overall density’s</w:t>
      </w:r>
    </w:p>
    <w:p w14:paraId="6AC7CEF6" w14:textId="77777777" w:rsidR="002D7EEE" w:rsidRDefault="002D7EEE" w:rsidP="002D7EEE">
      <w:pPr>
        <w:rPr>
          <w:rFonts w:ascii="CG Times" w:hAnsi="CG Times"/>
          <w:color w:val="000000"/>
        </w:rPr>
      </w:pPr>
    </w:p>
    <w:p w14:paraId="0E5BAE2E" w14:textId="77777777" w:rsidR="002D7EEE" w:rsidRDefault="002D7EEE" w:rsidP="002D7EEE">
      <w:pPr>
        <w:rPr>
          <w:rFonts w:ascii="CG Times" w:hAnsi="CG Times"/>
          <w:color w:val="000000"/>
        </w:rPr>
      </w:pPr>
    </w:p>
    <w:p w14:paraId="6E35C318" w14:textId="023E66D7" w:rsidR="002D7EEE" w:rsidRDefault="002D7EEE" w:rsidP="002D7E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mallCaps/>
          <w:color w:val="000000"/>
          <w:sz w:val="28"/>
          <w:szCs w:val="28"/>
        </w:rPr>
      </w:pPr>
      <w:r>
        <w:rPr>
          <w:rFonts w:ascii="Garamond" w:hAnsi="Garamond"/>
          <w:b/>
          <w:bCs/>
          <w:smallCaps/>
          <w:color w:val="000000"/>
          <w:sz w:val="28"/>
          <w:szCs w:val="28"/>
        </w:rPr>
        <w:t xml:space="preserve">Vision of the </w:t>
      </w:r>
      <w:r w:rsidR="00805B4C">
        <w:rPr>
          <w:rFonts w:ascii="Garamond" w:hAnsi="Garamond"/>
          <w:b/>
          <w:bCs/>
          <w:smallCaps/>
          <w:color w:val="000000"/>
          <w:sz w:val="28"/>
          <w:szCs w:val="28"/>
        </w:rPr>
        <w:t>MODERATE-INCOME</w:t>
      </w:r>
      <w:r>
        <w:rPr>
          <w:rFonts w:ascii="Garamond" w:hAnsi="Garamond"/>
          <w:b/>
          <w:bCs/>
          <w:smallCaps/>
          <w:color w:val="000000"/>
          <w:sz w:val="28"/>
          <w:szCs w:val="28"/>
        </w:rPr>
        <w:t xml:space="preserve"> Housing Plan is:</w:t>
      </w:r>
    </w:p>
    <w:p w14:paraId="1F8A6C40" w14:textId="77777777" w:rsidR="002D7EEE" w:rsidRDefault="002D7EEE" w:rsidP="002D7E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mallCaps/>
          <w:color w:val="000000"/>
          <w:sz w:val="28"/>
          <w:szCs w:val="28"/>
        </w:rPr>
      </w:pPr>
    </w:p>
    <w:p w14:paraId="1C67A8E5" w14:textId="4473B701" w:rsidR="002D7EEE" w:rsidRDefault="002D7EEE" w:rsidP="002D7E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G Times" w:hAnsi="CG Times"/>
          <w:i/>
          <w:iCs/>
          <w:color w:val="000000"/>
          <w:sz w:val="24"/>
        </w:rPr>
      </w:pPr>
      <w:r>
        <w:rPr>
          <w:rFonts w:ascii="CG Times" w:hAnsi="CG Times"/>
          <w:i/>
          <w:iCs/>
          <w:color w:val="000000"/>
          <w:sz w:val="24"/>
        </w:rPr>
        <w:tab/>
        <w:t>To ensure an adequate supply of safe, accessible, sanitary, and aesthetically pleasing moderate income housing integrated throughout the City in various locations, and consistent with the needs of all segments of the population.</w:t>
      </w:r>
    </w:p>
    <w:p w14:paraId="4FC72445" w14:textId="77777777" w:rsidR="002D7EEE" w:rsidRDefault="002D7EEE" w:rsidP="002D7E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b/>
          <w:bCs/>
          <w:color w:val="000000"/>
          <w:sz w:val="24"/>
        </w:rPr>
      </w:pPr>
    </w:p>
    <w:p w14:paraId="6C7DDE76" w14:textId="77777777" w:rsidR="002D7EEE" w:rsidRDefault="002D7EEE" w:rsidP="002D7E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G Times" w:hAnsi="CG Times"/>
          <w:color w:val="000000"/>
          <w:sz w:val="24"/>
        </w:rPr>
      </w:pPr>
      <w:r>
        <w:rPr>
          <w:rFonts w:ascii="CG Times" w:hAnsi="CG Times"/>
          <w:b/>
          <w:bCs/>
          <w:color w:val="000000"/>
          <w:sz w:val="24"/>
        </w:rPr>
        <w:tab/>
      </w:r>
      <w:r>
        <w:rPr>
          <w:rFonts w:ascii="CG Times" w:hAnsi="CG Times"/>
          <w:color w:val="000000"/>
          <w:sz w:val="24"/>
        </w:rPr>
        <w:t>Goals</w:t>
      </w:r>
    </w:p>
    <w:p w14:paraId="25C7450F" w14:textId="7857F0DB" w:rsidR="002D7EEE" w:rsidRDefault="002D7EEE" w:rsidP="002D7EEE">
      <w:pPr>
        <w:pStyle w:val="Defaul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color w:val="000000"/>
          <w:sz w:val="24"/>
        </w:rPr>
      </w:pPr>
      <w:r>
        <w:rPr>
          <w:rFonts w:ascii="CG Times" w:hAnsi="CG Times"/>
          <w:color w:val="000000"/>
          <w:sz w:val="24"/>
        </w:rPr>
        <w:t>Develop a mixture of lot sizes and housing types within the community.</w:t>
      </w:r>
    </w:p>
    <w:p w14:paraId="60BFF7A5" w14:textId="2A645FF8" w:rsidR="002D7EEE" w:rsidRDefault="002D7EEE" w:rsidP="002D7EEE">
      <w:pPr>
        <w:pStyle w:val="Defaul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color w:val="000000"/>
          <w:sz w:val="24"/>
        </w:rPr>
      </w:pPr>
      <w:r>
        <w:rPr>
          <w:rFonts w:ascii="CG Times" w:hAnsi="CG Times"/>
          <w:color w:val="000000"/>
          <w:sz w:val="24"/>
        </w:rPr>
        <w:t>Review development fees to understand whether they could be waved for affordable housing units.</w:t>
      </w:r>
    </w:p>
    <w:p w14:paraId="67C27C71" w14:textId="0268A956" w:rsidR="002D7EEE" w:rsidRDefault="002D7EEE" w:rsidP="002D7EEE">
      <w:pPr>
        <w:pStyle w:val="Defaul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color w:val="000000"/>
          <w:sz w:val="24"/>
        </w:rPr>
      </w:pPr>
      <w:r>
        <w:rPr>
          <w:rFonts w:ascii="CG Times" w:hAnsi="CG Times"/>
          <w:color w:val="000000"/>
          <w:sz w:val="24"/>
        </w:rPr>
        <w:t>Encourage landlords with affordable units to ensure tenants meet moderate income levels.</w:t>
      </w:r>
    </w:p>
    <w:p w14:paraId="04350011" w14:textId="02D7CAC2" w:rsidR="002D7EEE" w:rsidRDefault="002D7EEE" w:rsidP="002D7EEE">
      <w:pPr>
        <w:pStyle w:val="Defaul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color w:val="000000"/>
          <w:sz w:val="24"/>
        </w:rPr>
      </w:pPr>
      <w:r>
        <w:rPr>
          <w:rFonts w:ascii="CG Times" w:hAnsi="CG Times"/>
          <w:color w:val="000000"/>
          <w:sz w:val="24"/>
        </w:rPr>
        <w:t>Identify locations where additional housing units could be built</w:t>
      </w:r>
    </w:p>
    <w:p w14:paraId="2B8A1AEB" w14:textId="3FF2B78E" w:rsidR="002D7EEE" w:rsidRDefault="002D7EEE" w:rsidP="002D7EEE">
      <w:pPr>
        <w:pStyle w:val="Defaul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color w:val="000000"/>
          <w:sz w:val="24"/>
        </w:rPr>
      </w:pPr>
      <w:r>
        <w:rPr>
          <w:rFonts w:ascii="CG Times" w:hAnsi="CG Times"/>
          <w:color w:val="000000"/>
          <w:sz w:val="24"/>
        </w:rPr>
        <w:t>Update residential codes to allow accessory dwelling units.</w:t>
      </w:r>
    </w:p>
    <w:p w14:paraId="5D78A02B" w14:textId="3F3B7166" w:rsidR="002D7EEE" w:rsidRDefault="002D7EEE" w:rsidP="009550E9">
      <w:pPr>
        <w:pStyle w:val="Defaul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color w:val="000000"/>
          <w:sz w:val="24"/>
        </w:rPr>
      </w:pPr>
      <w:r w:rsidRPr="002D7EEE">
        <w:rPr>
          <w:rFonts w:ascii="CG Times" w:hAnsi="CG Times"/>
          <w:color w:val="000000"/>
          <w:sz w:val="24"/>
        </w:rPr>
        <w:t>Work with county, state, and federal housing authorities to identify programs that could be used in the town.</w:t>
      </w:r>
    </w:p>
    <w:sectPr w:rsidR="002D7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DAC"/>
    <w:multiLevelType w:val="multilevel"/>
    <w:tmpl w:val="6920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D66A0"/>
    <w:multiLevelType w:val="hybridMultilevel"/>
    <w:tmpl w:val="A31A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96DAA"/>
    <w:multiLevelType w:val="hybridMultilevel"/>
    <w:tmpl w:val="BF70A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D627A0"/>
    <w:multiLevelType w:val="hybridMultilevel"/>
    <w:tmpl w:val="ECD42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C417B"/>
    <w:multiLevelType w:val="hybridMultilevel"/>
    <w:tmpl w:val="CD9A1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D16E3"/>
    <w:multiLevelType w:val="hybridMultilevel"/>
    <w:tmpl w:val="8720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C61CB"/>
    <w:multiLevelType w:val="hybridMultilevel"/>
    <w:tmpl w:val="417A7532"/>
    <w:lvl w:ilvl="0" w:tplc="719E314A">
      <w:start w:val="5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lowerLetter"/>
        <w:lvlText w:val="%1."/>
        <w:lvlJc w:val="left"/>
      </w:lvl>
    </w:lvlOverride>
  </w:num>
  <w:num w:numId="2">
    <w:abstractNumId w:val="6"/>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AC"/>
    <w:rsid w:val="00055C0B"/>
    <w:rsid w:val="000A45D6"/>
    <w:rsid w:val="000F62F1"/>
    <w:rsid w:val="001C0319"/>
    <w:rsid w:val="00266128"/>
    <w:rsid w:val="00266D04"/>
    <w:rsid w:val="00293D59"/>
    <w:rsid w:val="002D7EEE"/>
    <w:rsid w:val="0034133D"/>
    <w:rsid w:val="00377A49"/>
    <w:rsid w:val="00394C63"/>
    <w:rsid w:val="003C4167"/>
    <w:rsid w:val="003C5A78"/>
    <w:rsid w:val="003E47F4"/>
    <w:rsid w:val="00403043"/>
    <w:rsid w:val="00404020"/>
    <w:rsid w:val="00453502"/>
    <w:rsid w:val="00457226"/>
    <w:rsid w:val="00490895"/>
    <w:rsid w:val="004B6937"/>
    <w:rsid w:val="004C1D6B"/>
    <w:rsid w:val="004D781E"/>
    <w:rsid w:val="004F48C4"/>
    <w:rsid w:val="00744742"/>
    <w:rsid w:val="007776A1"/>
    <w:rsid w:val="007D24D1"/>
    <w:rsid w:val="00805B4C"/>
    <w:rsid w:val="008C561C"/>
    <w:rsid w:val="00A31C19"/>
    <w:rsid w:val="00A44F57"/>
    <w:rsid w:val="00AB07D9"/>
    <w:rsid w:val="00AD717B"/>
    <w:rsid w:val="00AE503A"/>
    <w:rsid w:val="00B03623"/>
    <w:rsid w:val="00B3516A"/>
    <w:rsid w:val="00B40925"/>
    <w:rsid w:val="00B44CAC"/>
    <w:rsid w:val="00B62F11"/>
    <w:rsid w:val="00B72138"/>
    <w:rsid w:val="00C21612"/>
    <w:rsid w:val="00C36D84"/>
    <w:rsid w:val="00C452EF"/>
    <w:rsid w:val="00C63630"/>
    <w:rsid w:val="00CB264C"/>
    <w:rsid w:val="00D0149A"/>
    <w:rsid w:val="00D967D7"/>
    <w:rsid w:val="00E02247"/>
    <w:rsid w:val="00E37489"/>
    <w:rsid w:val="00E42714"/>
    <w:rsid w:val="00E95541"/>
    <w:rsid w:val="00EA18AD"/>
    <w:rsid w:val="00ED2BC5"/>
    <w:rsid w:val="00F013A0"/>
    <w:rsid w:val="00F40E34"/>
    <w:rsid w:val="00FC2053"/>
    <w:rsid w:val="00FF2AC2"/>
    <w:rsid w:val="00FF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6A5E"/>
  <w15:chartTrackingRefBased/>
  <w15:docId w15:val="{649B5D1D-7DE7-44A1-B336-078F3279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C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62F1"/>
    <w:pPr>
      <w:ind w:left="720"/>
      <w:contextualSpacing/>
    </w:pPr>
  </w:style>
  <w:style w:type="paragraph" w:customStyle="1" w:styleId="Default">
    <w:name w:val="Default"/>
    <w:rsid w:val="002D7EEE"/>
    <w:pPr>
      <w:autoSpaceDE w:val="0"/>
      <w:autoSpaceDN w:val="0"/>
      <w:adjustRightInd w:val="0"/>
      <w:spacing w:after="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D7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2842">
      <w:bodyDiv w:val="1"/>
      <w:marLeft w:val="0"/>
      <w:marRight w:val="0"/>
      <w:marTop w:val="0"/>
      <w:marBottom w:val="0"/>
      <w:divBdr>
        <w:top w:val="none" w:sz="0" w:space="0" w:color="auto"/>
        <w:left w:val="none" w:sz="0" w:space="0" w:color="auto"/>
        <w:bottom w:val="none" w:sz="0" w:space="0" w:color="auto"/>
        <w:right w:val="none" w:sz="0" w:space="0" w:color="auto"/>
      </w:divBdr>
    </w:div>
    <w:div w:id="184444007">
      <w:bodyDiv w:val="1"/>
      <w:marLeft w:val="0"/>
      <w:marRight w:val="0"/>
      <w:marTop w:val="0"/>
      <w:marBottom w:val="0"/>
      <w:divBdr>
        <w:top w:val="none" w:sz="0" w:space="0" w:color="auto"/>
        <w:left w:val="none" w:sz="0" w:space="0" w:color="auto"/>
        <w:bottom w:val="none" w:sz="0" w:space="0" w:color="auto"/>
        <w:right w:val="none" w:sz="0" w:space="0" w:color="auto"/>
      </w:divBdr>
    </w:div>
    <w:div w:id="493381368">
      <w:bodyDiv w:val="1"/>
      <w:marLeft w:val="0"/>
      <w:marRight w:val="0"/>
      <w:marTop w:val="0"/>
      <w:marBottom w:val="0"/>
      <w:divBdr>
        <w:top w:val="none" w:sz="0" w:space="0" w:color="auto"/>
        <w:left w:val="none" w:sz="0" w:space="0" w:color="auto"/>
        <w:bottom w:val="none" w:sz="0" w:space="0" w:color="auto"/>
        <w:right w:val="none" w:sz="0" w:space="0" w:color="auto"/>
      </w:divBdr>
    </w:div>
    <w:div w:id="591743296">
      <w:bodyDiv w:val="1"/>
      <w:marLeft w:val="0"/>
      <w:marRight w:val="0"/>
      <w:marTop w:val="0"/>
      <w:marBottom w:val="0"/>
      <w:divBdr>
        <w:top w:val="none" w:sz="0" w:space="0" w:color="auto"/>
        <w:left w:val="none" w:sz="0" w:space="0" w:color="auto"/>
        <w:bottom w:val="none" w:sz="0" w:space="0" w:color="auto"/>
        <w:right w:val="none" w:sz="0" w:space="0" w:color="auto"/>
      </w:divBdr>
    </w:div>
    <w:div w:id="1138768671">
      <w:bodyDiv w:val="1"/>
      <w:marLeft w:val="0"/>
      <w:marRight w:val="0"/>
      <w:marTop w:val="0"/>
      <w:marBottom w:val="0"/>
      <w:divBdr>
        <w:top w:val="none" w:sz="0" w:space="0" w:color="auto"/>
        <w:left w:val="none" w:sz="0" w:space="0" w:color="auto"/>
        <w:bottom w:val="none" w:sz="0" w:space="0" w:color="auto"/>
        <w:right w:val="none" w:sz="0" w:space="0" w:color="auto"/>
      </w:divBdr>
    </w:div>
    <w:div w:id="1328093090">
      <w:bodyDiv w:val="1"/>
      <w:marLeft w:val="0"/>
      <w:marRight w:val="0"/>
      <w:marTop w:val="0"/>
      <w:marBottom w:val="0"/>
      <w:divBdr>
        <w:top w:val="none" w:sz="0" w:space="0" w:color="auto"/>
        <w:left w:val="none" w:sz="0" w:space="0" w:color="auto"/>
        <w:bottom w:val="none" w:sz="0" w:space="0" w:color="auto"/>
        <w:right w:val="none" w:sz="0" w:space="0" w:color="auto"/>
      </w:divBdr>
    </w:div>
    <w:div w:id="1336153316">
      <w:bodyDiv w:val="1"/>
      <w:marLeft w:val="0"/>
      <w:marRight w:val="0"/>
      <w:marTop w:val="0"/>
      <w:marBottom w:val="0"/>
      <w:divBdr>
        <w:top w:val="none" w:sz="0" w:space="0" w:color="auto"/>
        <w:left w:val="none" w:sz="0" w:space="0" w:color="auto"/>
        <w:bottom w:val="none" w:sz="0" w:space="0" w:color="auto"/>
        <w:right w:val="none" w:sz="0" w:space="0" w:color="auto"/>
      </w:divBdr>
    </w:div>
    <w:div w:id="1656912255">
      <w:bodyDiv w:val="1"/>
      <w:marLeft w:val="0"/>
      <w:marRight w:val="0"/>
      <w:marTop w:val="0"/>
      <w:marBottom w:val="0"/>
      <w:divBdr>
        <w:top w:val="none" w:sz="0" w:space="0" w:color="auto"/>
        <w:left w:val="none" w:sz="0" w:space="0" w:color="auto"/>
        <w:bottom w:val="none" w:sz="0" w:space="0" w:color="auto"/>
        <w:right w:val="none" w:sz="0" w:space="0" w:color="auto"/>
      </w:divBdr>
    </w:div>
    <w:div w:id="1677686974">
      <w:bodyDiv w:val="1"/>
      <w:marLeft w:val="0"/>
      <w:marRight w:val="0"/>
      <w:marTop w:val="0"/>
      <w:marBottom w:val="0"/>
      <w:divBdr>
        <w:top w:val="none" w:sz="0" w:space="0" w:color="auto"/>
        <w:left w:val="none" w:sz="0" w:space="0" w:color="auto"/>
        <w:bottom w:val="none" w:sz="0" w:space="0" w:color="auto"/>
        <w:right w:val="none" w:sz="0" w:space="0" w:color="auto"/>
      </w:divBdr>
      <w:divsChild>
        <w:div w:id="863372784">
          <w:marLeft w:val="0"/>
          <w:marRight w:val="0"/>
          <w:marTop w:val="0"/>
          <w:marBottom w:val="0"/>
          <w:divBdr>
            <w:top w:val="none" w:sz="0" w:space="0" w:color="auto"/>
            <w:left w:val="none" w:sz="0" w:space="0" w:color="auto"/>
            <w:bottom w:val="none" w:sz="0" w:space="0" w:color="auto"/>
            <w:right w:val="none" w:sz="0" w:space="0" w:color="auto"/>
          </w:divBdr>
          <w:divsChild>
            <w:div w:id="21328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3198">
      <w:bodyDiv w:val="1"/>
      <w:marLeft w:val="0"/>
      <w:marRight w:val="0"/>
      <w:marTop w:val="0"/>
      <w:marBottom w:val="0"/>
      <w:divBdr>
        <w:top w:val="none" w:sz="0" w:space="0" w:color="auto"/>
        <w:left w:val="none" w:sz="0" w:space="0" w:color="auto"/>
        <w:bottom w:val="none" w:sz="0" w:space="0" w:color="auto"/>
        <w:right w:val="none" w:sz="0" w:space="0" w:color="auto"/>
      </w:divBdr>
    </w:div>
    <w:div w:id="1835225144">
      <w:bodyDiv w:val="1"/>
      <w:marLeft w:val="0"/>
      <w:marRight w:val="0"/>
      <w:marTop w:val="0"/>
      <w:marBottom w:val="0"/>
      <w:divBdr>
        <w:top w:val="none" w:sz="0" w:space="0" w:color="auto"/>
        <w:left w:val="none" w:sz="0" w:space="0" w:color="auto"/>
        <w:bottom w:val="none" w:sz="0" w:space="0" w:color="auto"/>
        <w:right w:val="none" w:sz="0" w:space="0" w:color="auto"/>
      </w:divBdr>
    </w:div>
    <w:div w:id="19756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Mecham</dc:creator>
  <cp:keywords/>
  <dc:description/>
  <cp:lastModifiedBy>Mary</cp:lastModifiedBy>
  <cp:revision>2</cp:revision>
  <cp:lastPrinted>2018-12-01T15:51:00Z</cp:lastPrinted>
  <dcterms:created xsi:type="dcterms:W3CDTF">2018-12-01T15:53:00Z</dcterms:created>
  <dcterms:modified xsi:type="dcterms:W3CDTF">2018-12-01T15:53:00Z</dcterms:modified>
</cp:coreProperties>
</file>